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2"/>
          <w:szCs w:val="32"/>
        </w:rPr>
      </w:pPr>
      <w:r>
        <w:rPr>
          <w:rFonts w:hint="eastAsia" w:ascii="黑体" w:hAnsi="黑体" w:eastAsia="黑体"/>
          <w:sz w:val="32"/>
          <w:szCs w:val="32"/>
        </w:rPr>
        <w:t>十一月份工作要点</w:t>
      </w:r>
    </w:p>
    <w:p>
      <w:pPr>
        <w:jc w:val="center"/>
        <w:rPr>
          <w:rFonts w:hint="eastAsia" w:ascii="宋体" w:hAnsi="宋体"/>
          <w:szCs w:val="21"/>
        </w:rPr>
      </w:pPr>
      <w:r>
        <w:rPr>
          <w:rFonts w:hint="eastAsia" w:ascii="方正大黑简体" w:hAnsi="方正大黑简体" w:eastAsia="方正大黑简体" w:cs="方正大黑简体"/>
          <w:szCs w:val="21"/>
        </w:rPr>
        <w:t>（第10～13周）</w:t>
      </w:r>
    </w:p>
    <w:tbl>
      <w:tblPr>
        <w:tblStyle w:val="5"/>
        <w:tblW w:w="86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
        <w:gridCol w:w="390"/>
        <w:gridCol w:w="5722"/>
        <w:gridCol w:w="1065"/>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gridSpan w:val="2"/>
            <w:vMerge w:val="restart"/>
            <w:noWrap w:val="0"/>
            <w:vAlign w:val="center"/>
          </w:tcPr>
          <w:p>
            <w:pPr>
              <w:spacing w:line="260" w:lineRule="exact"/>
              <w:jc w:val="center"/>
              <w:rPr>
                <w:rFonts w:hint="eastAsia" w:ascii="方正大黑简体" w:hAnsi="方正大黑简体" w:eastAsia="方正大黑简体" w:cs="方正大黑简体"/>
                <w:szCs w:val="21"/>
              </w:rPr>
            </w:pPr>
            <w:r>
              <w:rPr>
                <w:rFonts w:hint="eastAsia" w:ascii="方正大黑简体" w:hAnsi="方正大黑简体" w:eastAsia="方正大黑简体" w:cs="方正大黑简体"/>
                <w:szCs w:val="21"/>
              </w:rPr>
              <w:t>思</w:t>
            </w:r>
          </w:p>
          <w:p>
            <w:pPr>
              <w:spacing w:line="260" w:lineRule="exact"/>
              <w:jc w:val="center"/>
              <w:rPr>
                <w:rFonts w:hint="eastAsia" w:ascii="方正大黑简体" w:hAnsi="方正大黑简体" w:eastAsia="方正大黑简体" w:cs="方正大黑简体"/>
                <w:szCs w:val="21"/>
              </w:rPr>
            </w:pPr>
          </w:p>
          <w:p>
            <w:pPr>
              <w:spacing w:line="260" w:lineRule="exact"/>
              <w:jc w:val="center"/>
              <w:rPr>
                <w:rFonts w:hint="eastAsia" w:ascii="方正大黑简体" w:hAnsi="方正大黑简体" w:eastAsia="方正大黑简体" w:cs="方正大黑简体"/>
                <w:szCs w:val="21"/>
              </w:rPr>
            </w:pPr>
            <w:r>
              <w:rPr>
                <w:rFonts w:hint="eastAsia" w:ascii="方正大黑简体" w:hAnsi="方正大黑简体" w:eastAsia="方正大黑简体" w:cs="方正大黑简体"/>
                <w:szCs w:val="21"/>
              </w:rPr>
              <w:t>想</w:t>
            </w:r>
          </w:p>
          <w:p>
            <w:pPr>
              <w:spacing w:line="260" w:lineRule="exact"/>
              <w:jc w:val="center"/>
              <w:rPr>
                <w:rFonts w:hint="eastAsia" w:ascii="方正大黑简体" w:hAnsi="方正大黑简体" w:eastAsia="方正大黑简体" w:cs="方正大黑简体"/>
                <w:szCs w:val="21"/>
              </w:rPr>
            </w:pPr>
          </w:p>
          <w:p>
            <w:pPr>
              <w:spacing w:line="260" w:lineRule="exact"/>
              <w:jc w:val="center"/>
              <w:rPr>
                <w:rFonts w:hint="eastAsia" w:ascii="方正大黑简体" w:hAnsi="方正大黑简体" w:eastAsia="方正大黑简体" w:cs="方正大黑简体"/>
                <w:szCs w:val="21"/>
              </w:rPr>
            </w:pPr>
            <w:r>
              <w:rPr>
                <w:rFonts w:hint="eastAsia" w:ascii="方正大黑简体" w:hAnsi="方正大黑简体" w:eastAsia="方正大黑简体" w:cs="方正大黑简体"/>
                <w:szCs w:val="21"/>
              </w:rPr>
              <w:t>政</w:t>
            </w:r>
          </w:p>
          <w:p>
            <w:pPr>
              <w:spacing w:line="260" w:lineRule="exact"/>
              <w:jc w:val="center"/>
              <w:rPr>
                <w:rFonts w:hint="eastAsia" w:ascii="方正大黑简体" w:hAnsi="方正大黑简体" w:eastAsia="方正大黑简体" w:cs="方正大黑简体"/>
                <w:szCs w:val="21"/>
              </w:rPr>
            </w:pPr>
          </w:p>
          <w:p>
            <w:pPr>
              <w:spacing w:line="260" w:lineRule="exact"/>
              <w:jc w:val="center"/>
              <w:rPr>
                <w:rFonts w:hint="eastAsia" w:ascii="方正大黑简体" w:hAnsi="方正大黑简体" w:eastAsia="方正大黑简体" w:cs="方正大黑简体"/>
                <w:szCs w:val="21"/>
              </w:rPr>
            </w:pPr>
            <w:r>
              <w:rPr>
                <w:rFonts w:hint="eastAsia" w:ascii="方正大黑简体" w:hAnsi="方正大黑简体" w:eastAsia="方正大黑简体" w:cs="方正大黑简体"/>
                <w:szCs w:val="21"/>
              </w:rPr>
              <w:t>治</w:t>
            </w:r>
          </w:p>
          <w:p>
            <w:pPr>
              <w:spacing w:line="260" w:lineRule="exact"/>
              <w:jc w:val="center"/>
              <w:rPr>
                <w:rFonts w:hint="eastAsia" w:ascii="方正大黑简体" w:hAnsi="方正大黑简体" w:eastAsia="方正大黑简体" w:cs="方正大黑简体"/>
                <w:szCs w:val="21"/>
              </w:rPr>
            </w:pPr>
          </w:p>
          <w:p>
            <w:pPr>
              <w:spacing w:line="260" w:lineRule="exact"/>
              <w:jc w:val="center"/>
              <w:rPr>
                <w:rFonts w:hint="eastAsia" w:ascii="方正大黑简体" w:hAnsi="方正大黑简体" w:eastAsia="方正大黑简体" w:cs="方正大黑简体"/>
                <w:szCs w:val="21"/>
              </w:rPr>
            </w:pPr>
            <w:r>
              <w:rPr>
                <w:rFonts w:hint="eastAsia" w:ascii="方正大黑简体" w:hAnsi="方正大黑简体" w:eastAsia="方正大黑简体" w:cs="方正大黑简体"/>
                <w:szCs w:val="21"/>
              </w:rPr>
              <w:t>工</w:t>
            </w:r>
          </w:p>
          <w:p>
            <w:pPr>
              <w:spacing w:line="260" w:lineRule="exact"/>
              <w:jc w:val="center"/>
              <w:rPr>
                <w:rFonts w:hint="eastAsia" w:ascii="方正大黑简体" w:hAnsi="方正大黑简体" w:eastAsia="方正大黑简体" w:cs="方正大黑简体"/>
                <w:szCs w:val="21"/>
              </w:rPr>
            </w:pPr>
          </w:p>
          <w:p>
            <w:pPr>
              <w:spacing w:line="260" w:lineRule="exact"/>
              <w:jc w:val="center"/>
              <w:rPr>
                <w:rFonts w:hint="eastAsia" w:ascii="方正大黑简体" w:hAnsi="方正大黑简体" w:eastAsia="方正大黑简体" w:cs="方正大黑简体"/>
                <w:sz w:val="18"/>
                <w:szCs w:val="18"/>
              </w:rPr>
            </w:pPr>
            <w:r>
              <w:rPr>
                <w:rFonts w:hint="eastAsia" w:ascii="方正大黑简体" w:hAnsi="方正大黑简体" w:eastAsia="方正大黑简体" w:cs="方正大黑简体"/>
                <w:szCs w:val="21"/>
              </w:rPr>
              <w:t>作</w:t>
            </w:r>
          </w:p>
        </w:tc>
        <w:tc>
          <w:tcPr>
            <w:tcW w:w="5722" w:type="dxa"/>
            <w:noWrap w:val="0"/>
            <w:vAlign w:val="center"/>
          </w:tcPr>
          <w:p>
            <w:pPr>
              <w:spacing w:line="260" w:lineRule="exact"/>
              <w:jc w:val="center"/>
              <w:rPr>
                <w:rFonts w:hint="eastAsia" w:ascii="方正大黑简体" w:hAnsi="方正大黑简体" w:eastAsia="方正大黑简体" w:cs="方正大黑简体"/>
                <w:szCs w:val="21"/>
              </w:rPr>
            </w:pPr>
            <w:r>
              <w:rPr>
                <w:rFonts w:hint="eastAsia" w:ascii="方正大黑简体" w:hAnsi="方正大黑简体" w:eastAsia="方正大黑简体" w:cs="方正大黑简体"/>
                <w:szCs w:val="21"/>
              </w:rPr>
              <w:t>工作内容、要求以及完成时间</w:t>
            </w:r>
          </w:p>
        </w:tc>
        <w:tc>
          <w:tcPr>
            <w:tcW w:w="1065" w:type="dxa"/>
            <w:noWrap w:val="0"/>
            <w:vAlign w:val="center"/>
          </w:tcPr>
          <w:p>
            <w:pPr>
              <w:spacing w:line="260" w:lineRule="exact"/>
              <w:jc w:val="center"/>
              <w:rPr>
                <w:rFonts w:hint="eastAsia" w:ascii="方正大黑简体" w:hAnsi="方正大黑简体" w:eastAsia="方正大黑简体" w:cs="方正大黑简体"/>
                <w:szCs w:val="21"/>
              </w:rPr>
            </w:pPr>
            <w:r>
              <w:rPr>
                <w:rFonts w:hint="eastAsia" w:ascii="方正大黑简体" w:hAnsi="方正大黑简体" w:eastAsia="方正大黑简体" w:cs="方正大黑简体"/>
                <w:szCs w:val="21"/>
              </w:rPr>
              <w:t>组织与</w:t>
            </w:r>
          </w:p>
          <w:p>
            <w:pPr>
              <w:spacing w:line="260" w:lineRule="exact"/>
              <w:jc w:val="center"/>
              <w:rPr>
                <w:rFonts w:hint="eastAsia" w:ascii="方正大黑简体" w:hAnsi="方正大黑简体" w:eastAsia="方正大黑简体" w:cs="方正大黑简体"/>
                <w:szCs w:val="21"/>
              </w:rPr>
            </w:pPr>
            <w:r>
              <w:rPr>
                <w:rFonts w:hint="eastAsia" w:ascii="方正大黑简体" w:hAnsi="方正大黑简体" w:eastAsia="方正大黑简体" w:cs="方正大黑简体"/>
                <w:szCs w:val="21"/>
              </w:rPr>
              <w:t>安排</w:t>
            </w:r>
          </w:p>
        </w:tc>
        <w:tc>
          <w:tcPr>
            <w:tcW w:w="1110" w:type="dxa"/>
            <w:noWrap w:val="0"/>
            <w:vAlign w:val="center"/>
          </w:tcPr>
          <w:p>
            <w:pPr>
              <w:spacing w:line="260" w:lineRule="exact"/>
              <w:jc w:val="center"/>
              <w:rPr>
                <w:rFonts w:hint="eastAsia" w:ascii="方正大黑简体" w:hAnsi="方正大黑简体" w:eastAsia="方正大黑简体" w:cs="方正大黑简体"/>
                <w:sz w:val="18"/>
                <w:szCs w:val="18"/>
              </w:rPr>
            </w:pPr>
            <w:r>
              <w:rPr>
                <w:rFonts w:hint="eastAsia" w:ascii="方正大黑简体" w:hAnsi="方正大黑简体" w:eastAsia="方正大黑简体" w:cs="方正大黑简体"/>
                <w:sz w:val="18"/>
                <w:szCs w:val="18"/>
              </w:rPr>
              <w:t>主要</w:t>
            </w:r>
          </w:p>
          <w:p>
            <w:pPr>
              <w:spacing w:line="260" w:lineRule="exact"/>
              <w:jc w:val="center"/>
              <w:rPr>
                <w:rFonts w:hint="eastAsia" w:ascii="方正大黑简体" w:hAnsi="方正大黑简体" w:eastAsia="方正大黑简体" w:cs="方正大黑简体"/>
                <w:sz w:val="18"/>
                <w:szCs w:val="18"/>
              </w:rPr>
            </w:pPr>
            <w:r>
              <w:rPr>
                <w:rFonts w:hint="eastAsia" w:ascii="方正大黑简体" w:hAnsi="方正大黑简体" w:eastAsia="方正大黑简体" w:cs="方正大黑简体"/>
                <w:sz w:val="18"/>
                <w:szCs w:val="18"/>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trPr>
        <w:tc>
          <w:tcPr>
            <w:tcW w:w="713" w:type="dxa"/>
            <w:gridSpan w:val="2"/>
            <w:vMerge w:val="continue"/>
            <w:noWrap w:val="0"/>
            <w:vAlign w:val="top"/>
          </w:tcPr>
          <w:p>
            <w:pPr>
              <w:spacing w:line="260" w:lineRule="exact"/>
              <w:jc w:val="center"/>
              <w:rPr>
                <w:rFonts w:hint="eastAsia" w:ascii="方正大黑简体" w:hAnsi="方正大黑简体" w:eastAsia="方正大黑简体" w:cs="方正大黑简体"/>
                <w:sz w:val="18"/>
                <w:szCs w:val="18"/>
              </w:rPr>
            </w:pPr>
          </w:p>
        </w:tc>
        <w:tc>
          <w:tcPr>
            <w:tcW w:w="572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1、期中总结：（1）行政会：各条块、部门对期中阶段各项工作认真进行小结回顾，总结成绩，查找不足，明确任务目标，切实落实好下半学期各项工作(1</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周)。（2）教师会：结合期中质量分析，对学校半学期以来教育、教学工作进行总结，布置下</w:t>
            </w:r>
            <w:r>
              <w:rPr>
                <w:rFonts w:hint="eastAsia" w:asciiTheme="minorEastAsia" w:hAnsiTheme="minorEastAsia" w:eastAsiaTheme="minorEastAsia" w:cstheme="minorEastAsia"/>
                <w:sz w:val="21"/>
                <w:szCs w:val="21"/>
                <w:lang w:eastAsia="zh-CN"/>
              </w:rPr>
              <w:t>半</w:t>
            </w:r>
            <w:r>
              <w:rPr>
                <w:rFonts w:hint="eastAsia" w:asciiTheme="minorEastAsia" w:hAnsiTheme="minorEastAsia" w:eastAsiaTheme="minorEastAsia" w:cstheme="minorEastAsia"/>
                <w:sz w:val="21"/>
                <w:szCs w:val="21"/>
              </w:rPr>
              <w:t>学期工作（具体会议时间、议程待定）。（3）结合期中班级工作总结，多形式（家访、请家长到学校面谈、召开班级家长委员会等）与家长沟通，拓展教育渠道，形成教育合力。组织好六年级家长会。</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4）组织新一轮“青蓝结对”活动。（5）结合期中总结，工会具体落实好相关年级段师德问卷调查事项并做好调查分析。</w:t>
            </w:r>
          </w:p>
        </w:tc>
        <w:tc>
          <w:tcPr>
            <w:tcW w:w="1065" w:type="dxa"/>
            <w:noWrap w:val="0"/>
            <w:vAlign w:val="center"/>
          </w:tcPr>
          <w:p>
            <w:pPr>
              <w:spacing w:line="2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召开会议总结成绩查找不足</w:t>
            </w:r>
            <w:r>
              <w:rPr>
                <w:rFonts w:hint="eastAsia" w:asciiTheme="minorEastAsia" w:hAnsiTheme="minorEastAsia" w:eastAsiaTheme="minorEastAsia" w:cstheme="minorEastAsia"/>
                <w:sz w:val="21"/>
                <w:szCs w:val="21"/>
                <w:lang w:val="en-US" w:eastAsia="zh-CN"/>
              </w:rPr>
              <w:t>青蓝结对</w:t>
            </w:r>
          </w:p>
        </w:tc>
        <w:tc>
          <w:tcPr>
            <w:tcW w:w="1110" w:type="dxa"/>
            <w:noWrap w:val="0"/>
            <w:vAlign w:val="center"/>
          </w:tcPr>
          <w:p>
            <w:pPr>
              <w:spacing w:line="2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校长室、部门、年级段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713" w:type="dxa"/>
            <w:gridSpan w:val="2"/>
            <w:vMerge w:val="continue"/>
            <w:noWrap w:val="0"/>
            <w:vAlign w:val="top"/>
          </w:tcPr>
          <w:p>
            <w:pPr>
              <w:spacing w:line="260" w:lineRule="exact"/>
              <w:jc w:val="center"/>
              <w:rPr>
                <w:rFonts w:hint="eastAsia" w:ascii="方正大黑简体" w:hAnsi="方正大黑简体" w:eastAsia="方正大黑简体" w:cs="方正大黑简体"/>
                <w:sz w:val="18"/>
                <w:szCs w:val="18"/>
              </w:rPr>
            </w:pPr>
          </w:p>
        </w:tc>
        <w:tc>
          <w:tcPr>
            <w:tcW w:w="572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年度评估：（1）校长室牵头，组织各部门、条块认真研读2020年江宁区年度评估细则，特别是今年新增、调整的内容，做到内容要求吃深吃透，材料范围心中有数。（2）各部门对照评估细则尽早准备，在做好材料准备的同时，进一步查遗补缺，切实将今年的年度评估工作做实、做细。</w:t>
            </w:r>
          </w:p>
        </w:tc>
        <w:tc>
          <w:tcPr>
            <w:tcW w:w="1065" w:type="dxa"/>
            <w:noWrap w:val="0"/>
            <w:vAlign w:val="center"/>
          </w:tcPr>
          <w:p>
            <w:pPr>
              <w:spacing w:line="26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学习细则早做准备</w:t>
            </w:r>
          </w:p>
        </w:tc>
        <w:tc>
          <w:tcPr>
            <w:tcW w:w="1110" w:type="dxa"/>
            <w:noWrap w:val="0"/>
            <w:vAlign w:val="center"/>
          </w:tcPr>
          <w:p>
            <w:pPr>
              <w:spacing w:line="26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校长室、各部门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atLeast"/>
        </w:trPr>
        <w:tc>
          <w:tcPr>
            <w:tcW w:w="713" w:type="dxa"/>
            <w:gridSpan w:val="2"/>
            <w:vMerge w:val="continue"/>
            <w:noWrap w:val="0"/>
            <w:vAlign w:val="top"/>
          </w:tcPr>
          <w:p>
            <w:pPr>
              <w:spacing w:line="260" w:lineRule="exact"/>
              <w:jc w:val="center"/>
              <w:rPr>
                <w:rFonts w:hint="eastAsia" w:ascii="方正大黑简体" w:hAnsi="方正大黑简体" w:eastAsia="方正大黑简体" w:cs="方正大黑简体"/>
                <w:sz w:val="18"/>
                <w:szCs w:val="18"/>
              </w:rPr>
            </w:pPr>
          </w:p>
        </w:tc>
        <w:tc>
          <w:tcPr>
            <w:tcW w:w="5722" w:type="dxa"/>
            <w:noWrap w:val="0"/>
            <w:vAlign w:val="center"/>
          </w:tcPr>
          <w:p>
            <w:pPr>
              <w:pStyle w:val="7"/>
              <w:keepNext w:val="0"/>
              <w:keepLines w:val="0"/>
              <w:pageBreakBefore w:val="0"/>
              <w:widowControl/>
              <w:numPr>
                <w:ilvl w:val="0"/>
                <w:numId w:val="0"/>
              </w:numPr>
              <w:kinsoku/>
              <w:wordWrap/>
              <w:overflowPunct/>
              <w:topLinePunct w:val="0"/>
              <w:autoSpaceDE/>
              <w:autoSpaceDN/>
              <w:bidi w:val="0"/>
              <w:adjustRightInd/>
              <w:snapToGrid/>
              <w:spacing w:line="260" w:lineRule="exact"/>
              <w:ind w:lef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lang w:val="en-US" w:eastAsia="zh-CN" w:bidi="ar-SA"/>
              </w:rPr>
              <w:t>3、德育工作：（1）垃圾分类：积极做好南京市11月份全面推进垃圾分类工作的深入教育与宣传，要通过班会、晨会、国旗下讲话、校园广播站、电子屏开展垃圾分类知识宣传，要教给学生正确的分类的方法，在前期指导分类的基础上，德育处制定班级垃圾分类评比奖励措施并辐射到学生家庭。（2）持续做好秋冬季疫情防控各项工作，规定程序不可少，防疫物资准备足，防疫宣传要到位，防疫之弦不可松。（3）组织好“读书节”活动，各班根据活动方案要求积极开展好各项活动，年级组、德育处联合监督，加强指导，落实好相关要求。（4）加强学生行为礼仪教育，做好校园环境整治和资料整理，迎接省文明城市创建工作检查。（5）少先队大队部召开“铜井小学第七届少代会”，成立新一届少工委。（6）认真筹划，分批组织开展三年级家长学校。（7）召开十一月份班主任例会（8）继续做好江宁区文明校园创建工作，完善台账资料，迎接检查。</w:t>
            </w:r>
          </w:p>
        </w:tc>
        <w:tc>
          <w:tcPr>
            <w:tcW w:w="1065" w:type="dxa"/>
            <w:noWrap w:val="0"/>
            <w:vAlign w:val="center"/>
          </w:tcPr>
          <w:p>
            <w:pPr>
              <w:spacing w:line="26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垃圾分类</w:t>
            </w:r>
          </w:p>
          <w:p>
            <w:pPr>
              <w:spacing w:line="26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创建活动</w:t>
            </w:r>
          </w:p>
        </w:tc>
        <w:tc>
          <w:tcPr>
            <w:tcW w:w="1110" w:type="dxa"/>
            <w:noWrap w:val="0"/>
            <w:vAlign w:val="center"/>
          </w:tcPr>
          <w:p>
            <w:pPr>
              <w:spacing w:line="2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德育处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gridSpan w:val="2"/>
            <w:vMerge w:val="restart"/>
            <w:noWrap w:val="0"/>
            <w:vAlign w:val="center"/>
          </w:tcPr>
          <w:p>
            <w:pPr>
              <w:spacing w:line="260" w:lineRule="exact"/>
              <w:jc w:val="center"/>
              <w:rPr>
                <w:rFonts w:hint="eastAsia" w:ascii="方正大黑简体" w:hAnsi="方正大黑简体" w:eastAsia="方正大黑简体" w:cs="方正大黑简体"/>
                <w:szCs w:val="21"/>
              </w:rPr>
            </w:pPr>
            <w:r>
              <w:rPr>
                <w:rFonts w:hint="eastAsia" w:ascii="方正大黑简体" w:hAnsi="方正大黑简体" w:eastAsia="方正大黑简体" w:cs="方正大黑简体"/>
                <w:szCs w:val="21"/>
              </w:rPr>
              <w:t>教</w:t>
            </w:r>
          </w:p>
          <w:p>
            <w:pPr>
              <w:spacing w:line="260" w:lineRule="exact"/>
              <w:jc w:val="center"/>
              <w:rPr>
                <w:rFonts w:hint="eastAsia" w:ascii="方正大黑简体" w:hAnsi="方正大黑简体" w:eastAsia="方正大黑简体" w:cs="方正大黑简体"/>
                <w:szCs w:val="21"/>
              </w:rPr>
            </w:pPr>
          </w:p>
          <w:p>
            <w:pPr>
              <w:spacing w:line="260" w:lineRule="exact"/>
              <w:jc w:val="center"/>
              <w:rPr>
                <w:rFonts w:hint="eastAsia" w:ascii="方正大黑简体" w:hAnsi="方正大黑简体" w:eastAsia="方正大黑简体" w:cs="方正大黑简体"/>
                <w:szCs w:val="21"/>
              </w:rPr>
            </w:pPr>
          </w:p>
          <w:p>
            <w:pPr>
              <w:spacing w:line="260" w:lineRule="exact"/>
              <w:jc w:val="center"/>
              <w:rPr>
                <w:rFonts w:hint="eastAsia" w:ascii="方正大黑简体" w:hAnsi="方正大黑简体" w:eastAsia="方正大黑简体" w:cs="方正大黑简体"/>
                <w:szCs w:val="21"/>
              </w:rPr>
            </w:pPr>
            <w:r>
              <w:rPr>
                <w:rFonts w:hint="eastAsia" w:ascii="方正大黑简体" w:hAnsi="方正大黑简体" w:eastAsia="方正大黑简体" w:cs="方正大黑简体"/>
                <w:szCs w:val="21"/>
              </w:rPr>
              <w:t>学</w:t>
            </w:r>
          </w:p>
          <w:p>
            <w:pPr>
              <w:spacing w:line="260" w:lineRule="exact"/>
              <w:jc w:val="center"/>
              <w:rPr>
                <w:rFonts w:hint="eastAsia" w:ascii="方正大黑简体" w:hAnsi="方正大黑简体" w:eastAsia="方正大黑简体" w:cs="方正大黑简体"/>
                <w:szCs w:val="21"/>
              </w:rPr>
            </w:pPr>
          </w:p>
          <w:p>
            <w:pPr>
              <w:spacing w:line="260" w:lineRule="exact"/>
              <w:jc w:val="center"/>
              <w:rPr>
                <w:rFonts w:hint="eastAsia" w:ascii="方正大黑简体" w:hAnsi="方正大黑简体" w:eastAsia="方正大黑简体" w:cs="方正大黑简体"/>
                <w:szCs w:val="21"/>
              </w:rPr>
            </w:pPr>
          </w:p>
          <w:p>
            <w:pPr>
              <w:spacing w:line="260" w:lineRule="exact"/>
              <w:jc w:val="center"/>
              <w:rPr>
                <w:rFonts w:hint="eastAsia" w:ascii="方正大黑简体" w:hAnsi="方正大黑简体" w:eastAsia="方正大黑简体" w:cs="方正大黑简体"/>
                <w:szCs w:val="21"/>
              </w:rPr>
            </w:pPr>
            <w:r>
              <w:rPr>
                <w:rFonts w:hint="eastAsia" w:ascii="方正大黑简体" w:hAnsi="方正大黑简体" w:eastAsia="方正大黑简体" w:cs="方正大黑简体"/>
                <w:szCs w:val="21"/>
              </w:rPr>
              <w:t>工</w:t>
            </w:r>
          </w:p>
          <w:p>
            <w:pPr>
              <w:spacing w:line="260" w:lineRule="exact"/>
              <w:jc w:val="center"/>
              <w:rPr>
                <w:rFonts w:hint="eastAsia" w:ascii="方正大黑简体" w:hAnsi="方正大黑简体" w:eastAsia="方正大黑简体" w:cs="方正大黑简体"/>
                <w:szCs w:val="21"/>
              </w:rPr>
            </w:pPr>
          </w:p>
          <w:p>
            <w:pPr>
              <w:spacing w:line="260" w:lineRule="exact"/>
              <w:jc w:val="center"/>
              <w:rPr>
                <w:rFonts w:hint="eastAsia" w:ascii="方正大黑简体" w:hAnsi="方正大黑简体" w:eastAsia="方正大黑简体" w:cs="方正大黑简体"/>
                <w:szCs w:val="21"/>
              </w:rPr>
            </w:pPr>
          </w:p>
          <w:p>
            <w:pPr>
              <w:spacing w:line="260" w:lineRule="exact"/>
              <w:jc w:val="center"/>
              <w:rPr>
                <w:rFonts w:hint="eastAsia" w:ascii="方正大黑简体" w:hAnsi="方正大黑简体" w:eastAsia="方正大黑简体" w:cs="方正大黑简体"/>
                <w:sz w:val="18"/>
                <w:szCs w:val="18"/>
              </w:rPr>
            </w:pPr>
            <w:r>
              <w:rPr>
                <w:rFonts w:hint="eastAsia" w:ascii="方正大黑简体" w:hAnsi="方正大黑简体" w:eastAsia="方正大黑简体" w:cs="方正大黑简体"/>
                <w:szCs w:val="21"/>
              </w:rPr>
              <w:t>作</w:t>
            </w:r>
          </w:p>
        </w:tc>
        <w:tc>
          <w:tcPr>
            <w:tcW w:w="5722"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6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教学工作：(1)各年级</w:t>
            </w:r>
            <w:r>
              <w:rPr>
                <w:rFonts w:hint="eastAsia" w:asciiTheme="minorEastAsia" w:hAnsiTheme="minorEastAsia" w:eastAsiaTheme="minorEastAsia" w:cstheme="minorEastAsia"/>
                <w:sz w:val="21"/>
                <w:szCs w:val="21"/>
                <w:lang w:eastAsia="zh-CN"/>
              </w:rPr>
              <w:t>段做</w:t>
            </w:r>
            <w:r>
              <w:rPr>
                <w:rFonts w:hint="eastAsia" w:asciiTheme="minorEastAsia" w:hAnsiTheme="minorEastAsia" w:eastAsiaTheme="minorEastAsia" w:cstheme="minorEastAsia"/>
                <w:sz w:val="21"/>
                <w:szCs w:val="21"/>
              </w:rPr>
              <w:t>好期中检测的安排</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教</w:t>
            </w:r>
            <w:r>
              <w:rPr>
                <w:rFonts w:hint="eastAsia" w:asciiTheme="minorEastAsia" w:hAnsiTheme="minorEastAsia" w:eastAsiaTheme="minorEastAsia" w:cstheme="minorEastAsia"/>
                <w:sz w:val="21"/>
                <w:szCs w:val="21"/>
                <w:lang w:eastAsia="zh-CN"/>
              </w:rPr>
              <w:t>导</w:t>
            </w:r>
            <w:r>
              <w:rPr>
                <w:rFonts w:hint="eastAsia" w:asciiTheme="minorEastAsia" w:hAnsiTheme="minorEastAsia" w:eastAsiaTheme="minorEastAsia" w:cstheme="minorEastAsia"/>
                <w:sz w:val="21"/>
                <w:szCs w:val="21"/>
              </w:rPr>
              <w:t>处、</w:t>
            </w:r>
            <w:r>
              <w:rPr>
                <w:rFonts w:hint="eastAsia" w:asciiTheme="minorEastAsia" w:hAnsiTheme="minorEastAsia" w:eastAsiaTheme="minorEastAsia" w:cstheme="minorEastAsia"/>
                <w:sz w:val="21"/>
                <w:szCs w:val="21"/>
                <w:lang w:eastAsia="zh-CN"/>
              </w:rPr>
              <w:t>备课</w:t>
            </w:r>
            <w:r>
              <w:rPr>
                <w:rFonts w:hint="eastAsia" w:asciiTheme="minorEastAsia" w:hAnsiTheme="minorEastAsia" w:eastAsiaTheme="minorEastAsia" w:cstheme="minorEastAsia"/>
                <w:sz w:val="21"/>
                <w:szCs w:val="21"/>
              </w:rPr>
              <w:t>组、教师个人做好期中质量分析</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暂定检测时间为十一周周三）。</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2）教导处纵横分析各年级、学科、班级质量现状，特别是落后学科、年级要与任课教师一道分析成因，加强质量跟踪，切实发挥质量中继站作用。（3）片级教研活动，11月25日数学学科，上课教师做好组内磨课。（4）组织11月份校内视导及月查。（5）组织两组组长上传OA系统材料（11日前完成期中前材料上传）。（6）“带头人”菜单式讲座。</w:t>
            </w:r>
          </w:p>
        </w:tc>
        <w:tc>
          <w:tcPr>
            <w:tcW w:w="1065" w:type="dxa"/>
            <w:noWrap w:val="0"/>
            <w:vAlign w:val="center"/>
          </w:tcPr>
          <w:p>
            <w:pPr>
              <w:spacing w:line="26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质量分析</w:t>
            </w:r>
          </w:p>
          <w:p>
            <w:pPr>
              <w:spacing w:line="26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教研活动</w:t>
            </w:r>
          </w:p>
        </w:tc>
        <w:tc>
          <w:tcPr>
            <w:tcW w:w="1110" w:type="dxa"/>
            <w:noWrap w:val="0"/>
            <w:vAlign w:val="center"/>
          </w:tcPr>
          <w:p>
            <w:pPr>
              <w:spacing w:line="26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教导处、年级段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13" w:type="dxa"/>
            <w:gridSpan w:val="2"/>
            <w:vMerge w:val="continue"/>
            <w:noWrap w:val="0"/>
            <w:vAlign w:val="center"/>
          </w:tcPr>
          <w:p>
            <w:pPr>
              <w:spacing w:line="260" w:lineRule="exact"/>
              <w:jc w:val="center"/>
              <w:rPr>
                <w:rFonts w:hint="eastAsia" w:ascii="方正大黑简体" w:hAnsi="方正大黑简体" w:eastAsia="方正大黑简体" w:cs="方正大黑简体"/>
                <w:sz w:val="18"/>
                <w:szCs w:val="18"/>
              </w:rPr>
            </w:pPr>
          </w:p>
        </w:tc>
        <w:tc>
          <w:tcPr>
            <w:tcW w:w="572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kern w:val="0"/>
                <w:sz w:val="21"/>
                <w:szCs w:val="21"/>
              </w:rPr>
              <w:t>教育科研</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(1)</w:t>
            </w:r>
            <w:r>
              <w:rPr>
                <w:rFonts w:hint="eastAsia" w:asciiTheme="minorEastAsia" w:hAnsiTheme="minorEastAsia" w:eastAsiaTheme="minorEastAsia" w:cstheme="minorEastAsia"/>
                <w:kern w:val="0"/>
                <w:sz w:val="21"/>
                <w:szCs w:val="21"/>
                <w:lang w:eastAsia="zh-CN"/>
              </w:rPr>
              <w:t>召开市德育课题研究组会议，</w:t>
            </w:r>
            <w:r>
              <w:rPr>
                <w:rFonts w:hint="eastAsia" w:asciiTheme="minorEastAsia" w:hAnsiTheme="minorEastAsia" w:eastAsiaTheme="minorEastAsia" w:cstheme="minorEastAsia"/>
                <w:bCs/>
                <w:sz w:val="21"/>
                <w:szCs w:val="21"/>
                <w:shd w:val="clear" w:color="auto" w:fill="FFFFFF"/>
                <w:lang w:eastAsia="zh-CN"/>
              </w:rPr>
              <w:t>整理市“十三五”德育课题材料，完成结题报告上报区教科室。</w:t>
            </w:r>
            <w:r>
              <w:rPr>
                <w:rFonts w:hint="eastAsia" w:asciiTheme="minorEastAsia" w:hAnsiTheme="minorEastAsia" w:eastAsiaTheme="minorEastAsia" w:cstheme="minorEastAsia"/>
                <w:bCs/>
                <w:sz w:val="21"/>
                <w:szCs w:val="21"/>
                <w:shd w:val="clear" w:color="auto" w:fill="FFFFFF"/>
              </w:rPr>
              <w:t>（</w:t>
            </w:r>
            <w:r>
              <w:rPr>
                <w:rFonts w:hint="eastAsia" w:asciiTheme="minorEastAsia" w:hAnsiTheme="minorEastAsia" w:eastAsiaTheme="minorEastAsia" w:cstheme="minorEastAsia"/>
                <w:bCs/>
                <w:sz w:val="21"/>
                <w:szCs w:val="21"/>
                <w:shd w:val="clear" w:color="auto" w:fill="FFFFFF"/>
                <w:lang w:val="en-US" w:eastAsia="zh-CN"/>
              </w:rPr>
              <w:t>2</w:t>
            </w:r>
            <w:r>
              <w:rPr>
                <w:rFonts w:hint="eastAsia" w:asciiTheme="minorEastAsia" w:hAnsiTheme="minorEastAsia" w:eastAsiaTheme="minorEastAsia" w:cstheme="minorEastAsia"/>
                <w:bCs/>
                <w:sz w:val="21"/>
                <w:szCs w:val="21"/>
                <w:shd w:val="clear" w:color="auto" w:fill="FFFFFF"/>
              </w:rPr>
              <w:t>）</w:t>
            </w:r>
            <w:r>
              <w:rPr>
                <w:rFonts w:hint="eastAsia" w:asciiTheme="minorEastAsia" w:hAnsiTheme="minorEastAsia" w:eastAsiaTheme="minorEastAsia" w:cstheme="minorEastAsia"/>
                <w:bCs/>
                <w:sz w:val="21"/>
                <w:szCs w:val="21"/>
                <w:shd w:val="clear" w:color="auto" w:fill="FFFFFF"/>
                <w:lang w:eastAsia="zh-CN"/>
              </w:rPr>
              <w:t>加强市第十二期个人课题管理和指导，及时上传过程性材料。</w:t>
            </w:r>
            <w:r>
              <w:rPr>
                <w:rFonts w:hint="eastAsia" w:asciiTheme="minorEastAsia" w:hAnsiTheme="minorEastAsia" w:eastAsiaTheme="minorEastAsia" w:cstheme="minorEastAsia"/>
                <w:sz w:val="21"/>
                <w:szCs w:val="21"/>
                <w:shd w:val="clear" w:color="auto" w:fill="FFFFFF"/>
              </w:rPr>
              <w:t>（</w:t>
            </w:r>
            <w:r>
              <w:rPr>
                <w:rFonts w:hint="eastAsia" w:asciiTheme="minorEastAsia" w:hAnsiTheme="minorEastAsia" w:eastAsiaTheme="minorEastAsia" w:cstheme="minorEastAsia"/>
                <w:kern w:val="0"/>
                <w:sz w:val="21"/>
                <w:szCs w:val="21"/>
                <w:lang w:val="en-US" w:eastAsia="zh-CN"/>
              </w:rPr>
              <w:t>3</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bCs/>
                <w:sz w:val="21"/>
                <w:szCs w:val="21"/>
                <w:shd w:val="clear" w:color="auto" w:fill="FFFFFF"/>
              </w:rPr>
              <w:t>开展好青年教师发展班</w:t>
            </w:r>
            <w:r>
              <w:rPr>
                <w:rFonts w:hint="eastAsia" w:asciiTheme="minorEastAsia" w:hAnsiTheme="minorEastAsia" w:eastAsiaTheme="minorEastAsia" w:cstheme="minorEastAsia"/>
                <w:bCs/>
                <w:sz w:val="21"/>
                <w:szCs w:val="21"/>
                <w:shd w:val="clear" w:color="auto" w:fill="FFFFFF"/>
                <w:lang w:eastAsia="zh-CN"/>
              </w:rPr>
              <w:t>活动</w:t>
            </w:r>
            <w:r>
              <w:rPr>
                <w:rFonts w:hint="eastAsia" w:asciiTheme="minorEastAsia" w:hAnsiTheme="minorEastAsia" w:eastAsiaTheme="minorEastAsia" w:cstheme="minorEastAsia"/>
                <w:bCs/>
                <w:sz w:val="21"/>
                <w:szCs w:val="21"/>
                <w:shd w:val="clear" w:color="auto" w:fill="FFFFFF"/>
              </w:rPr>
              <w:t>，</w:t>
            </w:r>
            <w:r>
              <w:rPr>
                <w:rFonts w:hint="eastAsia" w:asciiTheme="minorEastAsia" w:hAnsiTheme="minorEastAsia" w:eastAsiaTheme="minorEastAsia" w:cstheme="minorEastAsia"/>
                <w:bCs/>
                <w:sz w:val="21"/>
                <w:szCs w:val="21"/>
                <w:shd w:val="clear" w:color="auto" w:fill="FFFFFF"/>
                <w:lang w:eastAsia="zh-CN"/>
              </w:rPr>
              <w:t>进行一次青年教师粉笔字钢笔字比赛活动。（</w:t>
            </w:r>
            <w:r>
              <w:rPr>
                <w:rFonts w:hint="eastAsia" w:asciiTheme="minorEastAsia" w:hAnsiTheme="minorEastAsia" w:eastAsiaTheme="minorEastAsia" w:cstheme="minorEastAsia"/>
                <w:bCs/>
                <w:sz w:val="21"/>
                <w:szCs w:val="21"/>
                <w:shd w:val="clear" w:color="auto" w:fill="FFFFFF"/>
                <w:lang w:val="en-US" w:eastAsia="zh-CN"/>
              </w:rPr>
              <w:t>4</w:t>
            </w:r>
            <w:r>
              <w:rPr>
                <w:rFonts w:hint="eastAsia" w:asciiTheme="minorEastAsia" w:hAnsiTheme="minorEastAsia" w:eastAsiaTheme="minorEastAsia" w:cstheme="minorEastAsia"/>
                <w:bCs/>
                <w:sz w:val="21"/>
                <w:szCs w:val="21"/>
                <w:shd w:val="clear" w:color="auto" w:fill="FFFFFF"/>
                <w:lang w:eastAsia="zh-CN"/>
              </w:rPr>
              <w:t>）举行一次</w:t>
            </w:r>
            <w:r>
              <w:rPr>
                <w:rFonts w:hint="eastAsia" w:asciiTheme="minorEastAsia" w:hAnsiTheme="minorEastAsia" w:eastAsiaTheme="minorEastAsia" w:cstheme="minorEastAsia"/>
                <w:bCs/>
                <w:sz w:val="21"/>
                <w:szCs w:val="21"/>
                <w:shd w:val="clear" w:color="auto" w:fill="FFFFFF"/>
                <w:lang w:val="en-US" w:eastAsia="zh-CN"/>
              </w:rPr>
              <w:t>区级菜单讲座，主题是论文案例写作方面，旨在指导青年教师发展班学员。（5）做好教师继续教育培训工作指导，完成好江苏教师教育网继续教育培训工作。确保本年度继续教育达到100%。（6）做好区教科研先进个人申报材料的上报工作。</w:t>
            </w:r>
          </w:p>
        </w:tc>
        <w:tc>
          <w:tcPr>
            <w:tcW w:w="1065" w:type="dxa"/>
            <w:noWrap w:val="0"/>
            <w:vAlign w:val="center"/>
          </w:tcPr>
          <w:p>
            <w:pPr>
              <w:spacing w:line="2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课题研究</w:t>
            </w:r>
          </w:p>
          <w:p>
            <w:pPr>
              <w:spacing w:line="26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青年发展继续教育</w:t>
            </w:r>
          </w:p>
        </w:tc>
        <w:tc>
          <w:tcPr>
            <w:tcW w:w="1110" w:type="dxa"/>
            <w:noWrap w:val="0"/>
            <w:vAlign w:val="center"/>
          </w:tcPr>
          <w:p>
            <w:pPr>
              <w:spacing w:line="2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教科室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323" w:type="dxa"/>
            <w:vMerge w:val="restart"/>
            <w:tcBorders>
              <w:top w:val="single" w:color="000000" w:sz="4" w:space="0"/>
              <w:right w:val="single" w:color="000000" w:sz="4" w:space="0"/>
            </w:tcBorders>
            <w:noWrap w:val="0"/>
            <w:vAlign w:val="center"/>
          </w:tcPr>
          <w:p>
            <w:pPr>
              <w:spacing w:line="260" w:lineRule="exact"/>
              <w:jc w:val="center"/>
              <w:rPr>
                <w:rFonts w:hint="eastAsia" w:ascii="方正大黑简体" w:hAnsi="方正大黑简体" w:eastAsia="方正大黑简体" w:cs="方正大黑简体"/>
                <w:szCs w:val="21"/>
              </w:rPr>
            </w:pPr>
          </w:p>
          <w:p>
            <w:pPr>
              <w:spacing w:line="260" w:lineRule="exact"/>
              <w:jc w:val="center"/>
              <w:rPr>
                <w:rFonts w:hint="eastAsia" w:ascii="方正大黑简体" w:hAnsi="方正大黑简体" w:eastAsia="方正大黑简体" w:cs="方正大黑简体"/>
                <w:szCs w:val="21"/>
              </w:rPr>
            </w:pPr>
            <w:r>
              <w:rPr>
                <w:rFonts w:hint="eastAsia" w:ascii="方正大黑简体" w:hAnsi="方正大黑简体" w:eastAsia="方正大黑简体" w:cs="方正大黑简体"/>
                <w:szCs w:val="21"/>
              </w:rPr>
              <w:t>相</w:t>
            </w:r>
          </w:p>
          <w:p>
            <w:pPr>
              <w:spacing w:line="260" w:lineRule="exact"/>
              <w:jc w:val="center"/>
              <w:rPr>
                <w:rFonts w:hint="eastAsia" w:ascii="方正大黑简体" w:hAnsi="方正大黑简体" w:eastAsia="方正大黑简体" w:cs="方正大黑简体"/>
                <w:szCs w:val="21"/>
              </w:rPr>
            </w:pPr>
          </w:p>
          <w:p>
            <w:pPr>
              <w:spacing w:line="260" w:lineRule="exact"/>
              <w:rPr>
                <w:rFonts w:hint="eastAsia" w:ascii="方正大黑简体" w:hAnsi="方正大黑简体" w:eastAsia="方正大黑简体" w:cs="方正大黑简体"/>
                <w:szCs w:val="21"/>
              </w:rPr>
            </w:pPr>
          </w:p>
          <w:p>
            <w:pPr>
              <w:spacing w:line="260" w:lineRule="exact"/>
              <w:jc w:val="center"/>
              <w:rPr>
                <w:rFonts w:hint="eastAsia" w:ascii="方正大黑简体" w:hAnsi="方正大黑简体" w:eastAsia="方正大黑简体" w:cs="方正大黑简体"/>
                <w:szCs w:val="21"/>
              </w:rPr>
            </w:pPr>
            <w:r>
              <w:rPr>
                <w:rFonts w:hint="eastAsia" w:ascii="方正大黑简体" w:hAnsi="方正大黑简体" w:eastAsia="方正大黑简体" w:cs="方正大黑简体"/>
                <w:szCs w:val="21"/>
              </w:rPr>
              <w:t>关</w:t>
            </w:r>
          </w:p>
          <w:p>
            <w:pPr>
              <w:spacing w:line="260" w:lineRule="exact"/>
              <w:jc w:val="center"/>
              <w:rPr>
                <w:rFonts w:hint="eastAsia" w:ascii="方正大黑简体" w:hAnsi="方正大黑简体" w:eastAsia="方正大黑简体" w:cs="方正大黑简体"/>
                <w:szCs w:val="21"/>
              </w:rPr>
            </w:pPr>
          </w:p>
          <w:p>
            <w:pPr>
              <w:spacing w:line="260" w:lineRule="exact"/>
              <w:jc w:val="center"/>
              <w:rPr>
                <w:rFonts w:hint="eastAsia" w:ascii="方正大黑简体" w:hAnsi="方正大黑简体" w:eastAsia="方正大黑简体" w:cs="方正大黑简体"/>
                <w:szCs w:val="21"/>
              </w:rPr>
            </w:pPr>
          </w:p>
          <w:p>
            <w:pPr>
              <w:spacing w:line="260" w:lineRule="exact"/>
              <w:jc w:val="center"/>
              <w:rPr>
                <w:rFonts w:hint="eastAsia" w:ascii="方正大黑简体" w:hAnsi="方正大黑简体" w:eastAsia="方正大黑简体" w:cs="方正大黑简体"/>
                <w:szCs w:val="21"/>
              </w:rPr>
            </w:pPr>
          </w:p>
          <w:p>
            <w:pPr>
              <w:spacing w:line="260" w:lineRule="exact"/>
              <w:jc w:val="center"/>
              <w:rPr>
                <w:rFonts w:hint="eastAsia" w:ascii="方正大黑简体" w:hAnsi="方正大黑简体" w:eastAsia="方正大黑简体" w:cs="方正大黑简体"/>
                <w:szCs w:val="21"/>
              </w:rPr>
            </w:pPr>
          </w:p>
          <w:p>
            <w:pPr>
              <w:spacing w:line="260" w:lineRule="exact"/>
              <w:jc w:val="center"/>
              <w:rPr>
                <w:rFonts w:hint="eastAsia" w:ascii="方正大黑简体" w:hAnsi="方正大黑简体" w:eastAsia="方正大黑简体" w:cs="方正大黑简体"/>
                <w:szCs w:val="21"/>
              </w:rPr>
            </w:pPr>
          </w:p>
          <w:p>
            <w:pPr>
              <w:spacing w:line="260" w:lineRule="exact"/>
              <w:jc w:val="center"/>
              <w:rPr>
                <w:rFonts w:hint="eastAsia" w:ascii="方正大黑简体" w:hAnsi="方正大黑简体" w:eastAsia="方正大黑简体" w:cs="方正大黑简体"/>
                <w:szCs w:val="21"/>
              </w:rPr>
            </w:pPr>
          </w:p>
          <w:p>
            <w:pPr>
              <w:spacing w:line="260" w:lineRule="exact"/>
              <w:jc w:val="center"/>
              <w:rPr>
                <w:rFonts w:hint="eastAsia" w:ascii="方正大黑简体" w:hAnsi="方正大黑简体" w:eastAsia="方正大黑简体" w:cs="方正大黑简体"/>
                <w:szCs w:val="21"/>
              </w:rPr>
            </w:pPr>
            <w:r>
              <w:rPr>
                <w:rFonts w:hint="eastAsia" w:ascii="方正大黑简体" w:hAnsi="方正大黑简体" w:eastAsia="方正大黑简体" w:cs="方正大黑简体"/>
                <w:szCs w:val="21"/>
              </w:rPr>
              <w:t>工</w:t>
            </w:r>
          </w:p>
          <w:p>
            <w:pPr>
              <w:spacing w:line="260" w:lineRule="exact"/>
              <w:jc w:val="center"/>
              <w:rPr>
                <w:rFonts w:hint="eastAsia" w:ascii="方正大黑简体" w:hAnsi="方正大黑简体" w:eastAsia="方正大黑简体" w:cs="方正大黑简体"/>
                <w:szCs w:val="21"/>
              </w:rPr>
            </w:pPr>
          </w:p>
          <w:p>
            <w:pPr>
              <w:spacing w:line="260" w:lineRule="exact"/>
              <w:jc w:val="center"/>
              <w:rPr>
                <w:rFonts w:hint="eastAsia" w:ascii="方正大黑简体" w:hAnsi="方正大黑简体" w:eastAsia="方正大黑简体" w:cs="方正大黑简体"/>
                <w:szCs w:val="21"/>
              </w:rPr>
            </w:pPr>
          </w:p>
          <w:p>
            <w:pPr>
              <w:spacing w:line="260" w:lineRule="exact"/>
              <w:jc w:val="center"/>
              <w:rPr>
                <w:rFonts w:hint="eastAsia" w:ascii="方正大黑简体" w:hAnsi="方正大黑简体" w:eastAsia="方正大黑简体" w:cs="方正大黑简体"/>
                <w:szCs w:val="21"/>
              </w:rPr>
            </w:pPr>
          </w:p>
          <w:p>
            <w:pPr>
              <w:spacing w:line="260" w:lineRule="exact"/>
              <w:jc w:val="center"/>
              <w:rPr>
                <w:rFonts w:hint="eastAsia" w:ascii="方正大黑简体" w:hAnsi="方正大黑简体" w:eastAsia="方正大黑简体" w:cs="方正大黑简体"/>
                <w:szCs w:val="21"/>
              </w:rPr>
            </w:pPr>
            <w:r>
              <w:rPr>
                <w:rFonts w:hint="eastAsia" w:ascii="方正大黑简体" w:hAnsi="方正大黑简体" w:eastAsia="方正大黑简体" w:cs="方正大黑简体"/>
                <w:szCs w:val="21"/>
              </w:rPr>
              <w:t>作</w:t>
            </w:r>
          </w:p>
        </w:tc>
        <w:tc>
          <w:tcPr>
            <w:tcW w:w="390" w:type="dxa"/>
            <w:tcBorders>
              <w:top w:val="single" w:color="000000" w:sz="4" w:space="0"/>
              <w:left w:val="single" w:color="000000" w:sz="4" w:space="0"/>
            </w:tcBorders>
            <w:noWrap w:val="0"/>
            <w:vAlign w:val="center"/>
          </w:tcPr>
          <w:p>
            <w:pPr>
              <w:spacing w:line="260" w:lineRule="exact"/>
              <w:jc w:val="center"/>
              <w:rPr>
                <w:rFonts w:hint="eastAsia" w:ascii="方正大黑简体" w:hAnsi="方正大黑简体" w:eastAsia="方正大黑简体" w:cs="方正大黑简体"/>
                <w:szCs w:val="21"/>
              </w:rPr>
            </w:pPr>
            <w:r>
              <w:rPr>
                <w:rFonts w:hint="eastAsia" w:ascii="方正大黑简体" w:hAnsi="方正大黑简体" w:eastAsia="方正大黑简体" w:cs="方正大黑简体"/>
                <w:szCs w:val="21"/>
              </w:rPr>
              <w:t>法制安全</w:t>
            </w:r>
          </w:p>
        </w:tc>
        <w:tc>
          <w:tcPr>
            <w:tcW w:w="5722" w:type="dxa"/>
            <w:tcBorders>
              <w:top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2"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val="en-US" w:eastAsia="zh-CN"/>
              </w:rPr>
              <w:t>1、</w:t>
            </w:r>
            <w:r>
              <w:rPr>
                <w:rFonts w:hint="eastAsia" w:asciiTheme="minorEastAsia" w:hAnsiTheme="minorEastAsia" w:eastAsiaTheme="minorEastAsia" w:cstheme="minorEastAsia"/>
                <w:color w:val="000000"/>
                <w:sz w:val="21"/>
                <w:szCs w:val="21"/>
              </w:rPr>
              <w:t>加大对学生课间活动的安全教育和安全督查的力度，防止学生发生课间意外伤害事故。2、 结合“119消防日”，向学生开展消防安全知识宣传教育和应急逃生演练活动。</w:t>
            </w:r>
            <w:r>
              <w:rPr>
                <w:rFonts w:hint="eastAsia" w:asciiTheme="minorEastAsia" w:hAnsiTheme="minorEastAsia" w:eastAsiaTheme="minorEastAsia" w:cstheme="minorEastAsia"/>
                <w:color w:val="000000"/>
                <w:sz w:val="21"/>
                <w:szCs w:val="21"/>
                <w:lang w:val="en-US" w:eastAsia="zh-CN"/>
              </w:rPr>
              <w:t>3、</w:t>
            </w:r>
            <w:r>
              <w:rPr>
                <w:rFonts w:hint="eastAsia" w:asciiTheme="minorEastAsia" w:hAnsiTheme="minorEastAsia" w:eastAsiaTheme="minorEastAsia" w:cstheme="minorEastAsia"/>
                <w:color w:val="000000"/>
                <w:sz w:val="21"/>
                <w:szCs w:val="21"/>
              </w:rPr>
              <w:t>加强安全教育平台的工作考核，督促班主任完成安全教育平台的日常教学工作。</w:t>
            </w:r>
            <w:r>
              <w:rPr>
                <w:rFonts w:hint="eastAsia" w:asciiTheme="minorEastAsia" w:hAnsiTheme="minorEastAsia" w:eastAsiaTheme="minorEastAsia" w:cstheme="minorEastAsia"/>
                <w:color w:val="000000"/>
                <w:sz w:val="21"/>
                <w:szCs w:val="21"/>
                <w:lang w:val="en-US" w:eastAsia="zh-CN"/>
              </w:rPr>
              <w:t>4、</w:t>
            </w:r>
            <w:r>
              <w:rPr>
                <w:rFonts w:hint="eastAsia" w:asciiTheme="minorEastAsia" w:hAnsiTheme="minorEastAsia" w:eastAsiaTheme="minorEastAsia" w:cstheme="minorEastAsia"/>
                <w:color w:val="000000"/>
                <w:sz w:val="21"/>
                <w:szCs w:val="21"/>
              </w:rPr>
              <w:t>完善学校安全工作台账，迎接全区校园安全工作年度检查考核。</w:t>
            </w:r>
          </w:p>
        </w:tc>
        <w:tc>
          <w:tcPr>
            <w:tcW w:w="1065" w:type="dxa"/>
            <w:noWrap w:val="0"/>
            <w:vAlign w:val="center"/>
          </w:tcPr>
          <w:p>
            <w:pPr>
              <w:spacing w:line="2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加强教育</w:t>
            </w:r>
          </w:p>
          <w:p>
            <w:pPr>
              <w:spacing w:line="2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开展活动</w:t>
            </w:r>
          </w:p>
        </w:tc>
        <w:tc>
          <w:tcPr>
            <w:tcW w:w="1110" w:type="dxa"/>
            <w:noWrap w:val="0"/>
            <w:vAlign w:val="center"/>
          </w:tcPr>
          <w:p>
            <w:pPr>
              <w:spacing w:line="2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安保办、</w:t>
            </w:r>
          </w:p>
          <w:p>
            <w:pPr>
              <w:spacing w:line="2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年级段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323" w:type="dxa"/>
            <w:vMerge w:val="continue"/>
            <w:tcBorders>
              <w:right w:val="single" w:color="000000" w:sz="4" w:space="0"/>
            </w:tcBorders>
            <w:noWrap w:val="0"/>
            <w:vAlign w:val="top"/>
          </w:tcPr>
          <w:p>
            <w:pPr>
              <w:spacing w:line="260" w:lineRule="exact"/>
              <w:rPr>
                <w:rFonts w:hint="eastAsia" w:ascii="方正大黑简体" w:hAnsi="方正大黑简体" w:eastAsia="方正大黑简体" w:cs="方正大黑简体"/>
                <w:szCs w:val="21"/>
              </w:rPr>
            </w:pPr>
          </w:p>
        </w:tc>
        <w:tc>
          <w:tcPr>
            <w:tcW w:w="390" w:type="dxa"/>
            <w:tcBorders>
              <w:top w:val="single" w:color="000000" w:sz="4" w:space="0"/>
              <w:left w:val="single" w:color="000000" w:sz="4" w:space="0"/>
              <w:bottom w:val="single" w:color="000000" w:sz="4" w:space="0"/>
            </w:tcBorders>
            <w:noWrap w:val="0"/>
            <w:vAlign w:val="center"/>
          </w:tcPr>
          <w:p>
            <w:pPr>
              <w:spacing w:line="260" w:lineRule="exact"/>
              <w:jc w:val="center"/>
              <w:rPr>
                <w:rFonts w:hint="eastAsia" w:ascii="方正大黑简体" w:hAnsi="方正大黑简体" w:eastAsia="方正大黑简体" w:cs="方正大黑简体"/>
                <w:szCs w:val="21"/>
              </w:rPr>
            </w:pPr>
            <w:r>
              <w:rPr>
                <w:rFonts w:hint="eastAsia" w:ascii="方正大黑简体" w:hAnsi="方正大黑简体" w:eastAsia="方正大黑简体" w:cs="方正大黑简体"/>
                <w:szCs w:val="21"/>
              </w:rPr>
              <w:t>总务后勤</w:t>
            </w:r>
          </w:p>
        </w:tc>
        <w:tc>
          <w:tcPr>
            <w:tcW w:w="5722" w:type="dxa"/>
            <w:noWrap w:val="0"/>
            <w:vAlign w:val="center"/>
          </w:tcPr>
          <w:p>
            <w:pPr>
              <w:keepNext w:val="0"/>
              <w:keepLines w:val="0"/>
              <w:pageBreakBefore w:val="0"/>
              <w:kinsoku/>
              <w:wordWrap/>
              <w:overflowPunct/>
              <w:topLinePunct w:val="0"/>
              <w:autoSpaceDE/>
              <w:autoSpaceDN/>
              <w:bidi w:val="0"/>
              <w:adjustRightInd/>
              <w:snapToGrid/>
              <w:spacing w:line="262"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继续做好食堂大宗食材及其他食品的采购、验收等工作，确保食品安全；根据气温变化，提前做好学校食堂饭菜预案和饮用水调温工作，确保学生有热水喝、有热饭吃</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继续做好“阳光食堂”信息监管平台的数据录入工作，及时关注省违规办学督查组的检查反馈意见，加强与区级平台管理员沟通，确保无误</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督促相关人员进行一次秋季校园树木维护、浇水、施肥工作</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继续落实学校食堂“五常”管理，严格执行食堂管理员培训会议上的要求，按要求认真做好燃气使用的日常自查工作，随时准备接受区教育局和市场监督管理局的飞行检查</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做好教室空气净化器安装及使用等相关工作。</w:t>
            </w:r>
          </w:p>
        </w:tc>
        <w:tc>
          <w:tcPr>
            <w:tcW w:w="1065" w:type="dxa"/>
            <w:noWrap w:val="0"/>
            <w:vAlign w:val="center"/>
          </w:tcPr>
          <w:p>
            <w:pPr>
              <w:spacing w:line="2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食品安全</w:t>
            </w:r>
          </w:p>
          <w:p>
            <w:pPr>
              <w:spacing w:line="2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阳光食堂</w:t>
            </w:r>
            <w:r>
              <w:rPr>
                <w:rFonts w:hint="eastAsia" w:asciiTheme="minorEastAsia" w:hAnsiTheme="minorEastAsia" w:eastAsiaTheme="minorEastAsia" w:cstheme="minorEastAsia"/>
                <w:sz w:val="21"/>
                <w:szCs w:val="21"/>
              </w:rPr>
              <w:t>五常管理</w:t>
            </w:r>
          </w:p>
        </w:tc>
        <w:tc>
          <w:tcPr>
            <w:tcW w:w="1110" w:type="dxa"/>
            <w:noWrap w:val="0"/>
            <w:vAlign w:val="center"/>
          </w:tcPr>
          <w:p>
            <w:pPr>
              <w:spacing w:line="2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总务处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323" w:type="dxa"/>
            <w:vMerge w:val="continue"/>
            <w:tcBorders>
              <w:right w:val="single" w:color="000000" w:sz="4" w:space="0"/>
            </w:tcBorders>
            <w:noWrap w:val="0"/>
            <w:vAlign w:val="top"/>
          </w:tcPr>
          <w:p>
            <w:pPr>
              <w:spacing w:line="260" w:lineRule="exact"/>
              <w:rPr>
                <w:rFonts w:hint="eastAsia" w:ascii="方正大黑简体" w:hAnsi="方正大黑简体" w:eastAsia="方正大黑简体" w:cs="方正大黑简体"/>
                <w:szCs w:val="21"/>
              </w:rPr>
            </w:pPr>
          </w:p>
        </w:tc>
        <w:tc>
          <w:tcPr>
            <w:tcW w:w="390" w:type="dxa"/>
            <w:tcBorders>
              <w:top w:val="single" w:color="000000" w:sz="4" w:space="0"/>
              <w:left w:val="single" w:color="000000" w:sz="4" w:space="0"/>
              <w:bottom w:val="single" w:color="000000" w:sz="4" w:space="0"/>
            </w:tcBorders>
            <w:noWrap w:val="0"/>
            <w:vAlign w:val="center"/>
          </w:tcPr>
          <w:p>
            <w:pPr>
              <w:spacing w:line="260" w:lineRule="exact"/>
              <w:jc w:val="center"/>
              <w:rPr>
                <w:rFonts w:hint="eastAsia" w:ascii="方正大黑简体" w:hAnsi="方正大黑简体" w:eastAsia="方正大黑简体" w:cs="方正大黑简体"/>
                <w:szCs w:val="21"/>
              </w:rPr>
            </w:pPr>
            <w:r>
              <w:rPr>
                <w:rFonts w:hint="eastAsia" w:ascii="方正大黑简体" w:hAnsi="方正大黑简体" w:eastAsia="方正大黑简体" w:cs="方正大黑简体"/>
                <w:szCs w:val="21"/>
              </w:rPr>
              <w:t>支部工会</w:t>
            </w:r>
          </w:p>
        </w:tc>
        <w:tc>
          <w:tcPr>
            <w:tcW w:w="5722" w:type="dxa"/>
            <w:noWrap w:val="0"/>
            <w:vAlign w:val="center"/>
          </w:tcPr>
          <w:p>
            <w:pPr>
              <w:keepNext w:val="0"/>
              <w:keepLines w:val="0"/>
              <w:pageBreakBefore w:val="0"/>
              <w:numPr>
                <w:ilvl w:val="0"/>
                <w:numId w:val="1"/>
              </w:numPr>
              <w:kinsoku/>
              <w:wordWrap/>
              <w:overflowPunct/>
              <w:topLinePunct w:val="0"/>
              <w:autoSpaceDE/>
              <w:autoSpaceDN/>
              <w:bidi w:val="0"/>
              <w:adjustRightInd/>
              <w:snapToGrid/>
              <w:spacing w:line="262" w:lineRule="exact"/>
              <w:ind w:leftChars="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支部组织收看理论宣讲活动（分会场）。2、进一步加强“学习强国”的学习指导与督促。3、工会</w:t>
            </w:r>
            <w:r>
              <w:rPr>
                <w:rFonts w:hint="eastAsia" w:asciiTheme="minorEastAsia" w:hAnsiTheme="minorEastAsia" w:eastAsiaTheme="minorEastAsia" w:cstheme="minorEastAsia"/>
                <w:sz w:val="21"/>
                <w:szCs w:val="21"/>
              </w:rPr>
              <w:t>组织一次师德学习。</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落实好</w:t>
            </w:r>
            <w:r>
              <w:rPr>
                <w:rFonts w:hint="eastAsia" w:asciiTheme="minorEastAsia" w:hAnsiTheme="minorEastAsia" w:eastAsiaTheme="minorEastAsia" w:cstheme="minorEastAsia"/>
                <w:sz w:val="21"/>
                <w:szCs w:val="21"/>
              </w:rPr>
              <w:t>教代会议案征集</w:t>
            </w:r>
            <w:r>
              <w:rPr>
                <w:rFonts w:hint="eastAsia" w:asciiTheme="minorEastAsia" w:hAnsiTheme="minorEastAsia" w:eastAsiaTheme="minorEastAsia" w:cstheme="minorEastAsia"/>
                <w:sz w:val="21"/>
                <w:szCs w:val="21"/>
                <w:lang w:eastAsia="zh-CN"/>
              </w:rPr>
              <w:t>工作</w:t>
            </w:r>
            <w:r>
              <w:rPr>
                <w:rFonts w:hint="eastAsia" w:asciiTheme="minorEastAsia" w:hAnsiTheme="minorEastAsia" w:eastAsiaTheme="minorEastAsia" w:cstheme="minorEastAsia"/>
                <w:sz w:val="21"/>
                <w:szCs w:val="21"/>
              </w:rPr>
              <w:t>。</w:t>
            </w:r>
          </w:p>
        </w:tc>
        <w:tc>
          <w:tcPr>
            <w:tcW w:w="1065" w:type="dxa"/>
            <w:noWrap w:val="0"/>
            <w:vAlign w:val="center"/>
          </w:tcPr>
          <w:p>
            <w:pPr>
              <w:spacing w:line="26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主题教育</w:t>
            </w:r>
          </w:p>
          <w:p>
            <w:pPr>
              <w:spacing w:line="26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师德学习</w:t>
            </w:r>
          </w:p>
        </w:tc>
        <w:tc>
          <w:tcPr>
            <w:tcW w:w="1110" w:type="dxa"/>
            <w:noWrap w:val="0"/>
            <w:vAlign w:val="center"/>
          </w:tcPr>
          <w:p>
            <w:pPr>
              <w:spacing w:line="2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支部、</w:t>
            </w:r>
          </w:p>
          <w:p>
            <w:pPr>
              <w:spacing w:line="2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323" w:type="dxa"/>
            <w:vMerge w:val="continue"/>
            <w:tcBorders>
              <w:right w:val="single" w:color="000000" w:sz="4" w:space="0"/>
            </w:tcBorders>
            <w:noWrap w:val="0"/>
            <w:vAlign w:val="top"/>
          </w:tcPr>
          <w:p>
            <w:pPr>
              <w:spacing w:line="260" w:lineRule="exact"/>
              <w:rPr>
                <w:rFonts w:hint="eastAsia" w:ascii="方正大黑简体" w:hAnsi="方正大黑简体" w:eastAsia="方正大黑简体" w:cs="方正大黑简体"/>
                <w:szCs w:val="21"/>
              </w:rPr>
            </w:pPr>
          </w:p>
        </w:tc>
        <w:tc>
          <w:tcPr>
            <w:tcW w:w="390" w:type="dxa"/>
            <w:tcBorders>
              <w:top w:val="single" w:color="000000" w:sz="4" w:space="0"/>
              <w:left w:val="single" w:color="000000" w:sz="4" w:space="0"/>
              <w:bottom w:val="single" w:color="000000" w:sz="4" w:space="0"/>
            </w:tcBorders>
            <w:noWrap w:val="0"/>
            <w:vAlign w:val="center"/>
          </w:tcPr>
          <w:p>
            <w:pPr>
              <w:spacing w:line="260" w:lineRule="exact"/>
              <w:jc w:val="center"/>
              <w:rPr>
                <w:rFonts w:hint="eastAsia" w:ascii="方正大黑简体" w:hAnsi="方正大黑简体" w:eastAsia="方正大黑简体" w:cs="方正大黑简体"/>
                <w:szCs w:val="21"/>
              </w:rPr>
            </w:pPr>
            <w:r>
              <w:rPr>
                <w:rFonts w:hint="eastAsia" w:ascii="方正大黑简体" w:hAnsi="方正大黑简体" w:eastAsia="方正大黑简体" w:cs="方正大黑简体"/>
                <w:szCs w:val="21"/>
              </w:rPr>
              <w:t>体艺卫技</w:t>
            </w:r>
          </w:p>
        </w:tc>
        <w:tc>
          <w:tcPr>
            <w:tcW w:w="5722" w:type="dxa"/>
            <w:noWrap w:val="0"/>
            <w:vAlign w:val="center"/>
          </w:tcPr>
          <w:p>
            <w:pPr>
              <w:keepNext w:val="0"/>
              <w:keepLines w:val="0"/>
              <w:pageBreakBefore w:val="0"/>
              <w:kinsoku/>
              <w:wordWrap/>
              <w:overflowPunct/>
              <w:topLinePunct w:val="0"/>
              <w:autoSpaceDE/>
              <w:autoSpaceDN/>
              <w:bidi w:val="0"/>
              <w:adjustRightInd/>
              <w:snapToGrid/>
              <w:spacing w:line="262"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1、举行学校第九届校园阳光体育节，要在普及性、全员性上求创新。2、参加江苏省定向锦标赛</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南京市小篮球女子组比赛</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力争取的好成绩。3</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合唱队认真排练，以上交视频方式参加江宁区小学生合唱比赛。</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、做好秋季传染病防控工作。</w:t>
            </w:r>
          </w:p>
        </w:tc>
        <w:tc>
          <w:tcPr>
            <w:tcW w:w="1065" w:type="dxa"/>
            <w:noWrap w:val="0"/>
            <w:vAlign w:val="center"/>
          </w:tcPr>
          <w:p>
            <w:pPr>
              <w:spacing w:line="26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参加</w:t>
            </w:r>
            <w:r>
              <w:rPr>
                <w:rFonts w:hint="eastAsia" w:asciiTheme="minorEastAsia" w:hAnsiTheme="minorEastAsia" w:eastAsiaTheme="minorEastAsia" w:cstheme="minorEastAsia"/>
                <w:sz w:val="21"/>
                <w:szCs w:val="21"/>
                <w:lang w:val="en-US" w:eastAsia="zh-CN"/>
              </w:rPr>
              <w:t>比赛</w:t>
            </w:r>
          </w:p>
          <w:p>
            <w:pPr>
              <w:spacing w:line="26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卫生防控</w:t>
            </w:r>
          </w:p>
        </w:tc>
        <w:tc>
          <w:tcPr>
            <w:tcW w:w="1110" w:type="dxa"/>
            <w:noWrap w:val="0"/>
            <w:vAlign w:val="center"/>
          </w:tcPr>
          <w:p>
            <w:pPr>
              <w:spacing w:line="2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德育处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323" w:type="dxa"/>
            <w:vMerge w:val="continue"/>
            <w:tcBorders>
              <w:right w:val="single" w:color="000000" w:sz="4" w:space="0"/>
            </w:tcBorders>
            <w:noWrap w:val="0"/>
            <w:vAlign w:val="top"/>
          </w:tcPr>
          <w:p>
            <w:pPr>
              <w:spacing w:line="260" w:lineRule="exact"/>
              <w:rPr>
                <w:rFonts w:hint="eastAsia" w:ascii="方正大黑简体" w:hAnsi="方正大黑简体" w:eastAsia="方正大黑简体" w:cs="方正大黑简体"/>
                <w:szCs w:val="21"/>
              </w:rPr>
            </w:pPr>
          </w:p>
        </w:tc>
        <w:tc>
          <w:tcPr>
            <w:tcW w:w="390" w:type="dxa"/>
            <w:tcBorders>
              <w:top w:val="single" w:color="000000" w:sz="4" w:space="0"/>
              <w:left w:val="single" w:color="000000" w:sz="4" w:space="0"/>
              <w:bottom w:val="single" w:color="000000" w:sz="4" w:space="0"/>
            </w:tcBorders>
            <w:noWrap w:val="0"/>
            <w:vAlign w:val="center"/>
          </w:tcPr>
          <w:p>
            <w:pPr>
              <w:spacing w:line="260" w:lineRule="exact"/>
              <w:jc w:val="center"/>
              <w:rPr>
                <w:rFonts w:hint="eastAsia" w:ascii="方正大黑简体" w:hAnsi="方正大黑简体" w:eastAsia="方正大黑简体" w:cs="方正大黑简体"/>
                <w:szCs w:val="21"/>
                <w:lang w:eastAsia="zh-CN"/>
              </w:rPr>
            </w:pPr>
            <w:r>
              <w:rPr>
                <w:rFonts w:hint="eastAsia" w:ascii="方正大黑简体" w:hAnsi="方正大黑简体" w:eastAsia="方正大黑简体" w:cs="方正大黑简体"/>
                <w:szCs w:val="21"/>
                <w:lang w:eastAsia="zh-CN"/>
              </w:rPr>
              <w:t>信息装备</w:t>
            </w:r>
          </w:p>
        </w:tc>
        <w:tc>
          <w:tcPr>
            <w:tcW w:w="5722" w:type="dxa"/>
            <w:noWrap w:val="0"/>
            <w:vAlign w:val="center"/>
          </w:tcPr>
          <w:p>
            <w:pPr>
              <w:keepNext w:val="0"/>
              <w:keepLines w:val="0"/>
              <w:pageBreakBefore w:val="0"/>
              <w:kinsoku/>
              <w:wordWrap/>
              <w:overflowPunct/>
              <w:topLinePunct w:val="0"/>
              <w:autoSpaceDE/>
              <w:autoSpaceDN/>
              <w:bidi w:val="0"/>
              <w:adjustRightInd/>
              <w:snapToGrid/>
              <w:spacing w:line="262" w:lineRule="exac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11月中旬上传江宁区第十二届中小学优秀校园影视节目评比比赛的作品</w:t>
            </w:r>
            <w:r>
              <w:rPr>
                <w:rFonts w:hint="eastAsia" w:asciiTheme="minorEastAsia" w:hAnsiTheme="minorEastAsia" w:eastAsiaTheme="minorEastAsia" w:cstheme="minorEastAsia"/>
                <w:sz w:val="21"/>
                <w:szCs w:val="21"/>
                <w:lang w:eastAsia="zh-CN"/>
              </w:rPr>
              <w:t>（德育处落实）</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做好学校</w:t>
            </w:r>
            <w:r>
              <w:rPr>
                <w:rFonts w:hint="eastAsia" w:asciiTheme="minorEastAsia" w:hAnsiTheme="minorEastAsia" w:eastAsiaTheme="minorEastAsia" w:cstheme="minorEastAsia"/>
                <w:sz w:val="21"/>
                <w:szCs w:val="21"/>
                <w:lang w:eastAsia="zh-CN"/>
              </w:rPr>
              <w:t>技装</w:t>
            </w:r>
            <w:r>
              <w:rPr>
                <w:rFonts w:hint="eastAsia" w:asciiTheme="minorEastAsia" w:hAnsiTheme="minorEastAsia" w:eastAsiaTheme="minorEastAsia" w:cstheme="minorEastAsia"/>
                <w:sz w:val="21"/>
                <w:szCs w:val="21"/>
              </w:rPr>
              <w:t>设备的摸底排查工作，</w:t>
            </w:r>
            <w:r>
              <w:rPr>
                <w:rFonts w:hint="eastAsia" w:asciiTheme="minorEastAsia" w:hAnsiTheme="minorEastAsia" w:eastAsiaTheme="minorEastAsia" w:cstheme="minorEastAsia"/>
                <w:sz w:val="21"/>
                <w:szCs w:val="21"/>
                <w:lang w:eastAsia="zh-CN"/>
              </w:rPr>
              <w:t>落实</w:t>
            </w:r>
            <w:r>
              <w:rPr>
                <w:rFonts w:hint="eastAsia" w:asciiTheme="minorEastAsia" w:hAnsiTheme="minorEastAsia" w:eastAsiaTheme="minorEastAsia" w:cstheme="minorEastAsia"/>
                <w:sz w:val="21"/>
                <w:szCs w:val="21"/>
              </w:rPr>
              <w:t>好2021年</w:t>
            </w:r>
            <w:r>
              <w:rPr>
                <w:rFonts w:hint="eastAsia" w:asciiTheme="minorEastAsia" w:hAnsiTheme="minorEastAsia" w:eastAsiaTheme="minorEastAsia" w:cstheme="minorEastAsia"/>
                <w:sz w:val="21"/>
                <w:szCs w:val="21"/>
                <w:lang w:eastAsia="zh-CN"/>
              </w:rPr>
              <w:t>技装</w:t>
            </w:r>
            <w:r>
              <w:rPr>
                <w:rFonts w:hint="eastAsia" w:asciiTheme="minorEastAsia" w:hAnsiTheme="minorEastAsia" w:eastAsiaTheme="minorEastAsia" w:cstheme="minorEastAsia"/>
                <w:sz w:val="21"/>
                <w:szCs w:val="21"/>
              </w:rPr>
              <w:t>申请工作，</w:t>
            </w:r>
            <w:r>
              <w:rPr>
                <w:rFonts w:hint="eastAsia" w:asciiTheme="minorEastAsia" w:hAnsiTheme="minorEastAsia" w:eastAsiaTheme="minorEastAsia" w:cstheme="minorEastAsia"/>
                <w:sz w:val="21"/>
                <w:szCs w:val="21"/>
                <w:lang w:eastAsia="zh-CN"/>
              </w:rPr>
              <w:t>按要求做好各类</w:t>
            </w:r>
            <w:r>
              <w:rPr>
                <w:rFonts w:hint="eastAsia" w:asciiTheme="minorEastAsia" w:hAnsiTheme="minorEastAsia" w:eastAsiaTheme="minorEastAsia" w:cstheme="minorEastAsia"/>
                <w:sz w:val="21"/>
                <w:szCs w:val="21"/>
              </w:rPr>
              <w:t>报废物品</w:t>
            </w:r>
            <w:r>
              <w:rPr>
                <w:rFonts w:hint="eastAsia" w:asciiTheme="minorEastAsia" w:hAnsiTheme="minorEastAsia" w:eastAsiaTheme="minorEastAsia" w:cstheme="minorEastAsia"/>
                <w:sz w:val="21"/>
                <w:szCs w:val="21"/>
                <w:lang w:eastAsia="zh-CN"/>
              </w:rPr>
              <w:t>的申报与操作</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3、做好班级</w:t>
            </w:r>
            <w:r>
              <w:rPr>
                <w:rFonts w:hint="eastAsia" w:asciiTheme="minorEastAsia" w:hAnsiTheme="minorEastAsia" w:eastAsiaTheme="minorEastAsia" w:cstheme="minorEastAsia"/>
                <w:sz w:val="21"/>
                <w:szCs w:val="21"/>
              </w:rPr>
              <w:t>多媒体</w:t>
            </w:r>
            <w:r>
              <w:rPr>
                <w:rFonts w:hint="eastAsia" w:asciiTheme="minorEastAsia" w:hAnsiTheme="minorEastAsia" w:eastAsiaTheme="minorEastAsia" w:cstheme="minorEastAsia"/>
                <w:sz w:val="21"/>
                <w:szCs w:val="21"/>
                <w:lang w:eastAsia="zh-CN"/>
              </w:rPr>
              <w:t>的保护与维护工作，提醒任课教师随开随</w:t>
            </w:r>
            <w:r>
              <w:rPr>
                <w:rFonts w:hint="eastAsia" w:asciiTheme="minorEastAsia" w:hAnsiTheme="minorEastAsia" w:eastAsiaTheme="minorEastAsia" w:cstheme="minorEastAsia"/>
                <w:sz w:val="21"/>
                <w:szCs w:val="21"/>
              </w:rPr>
              <w:t>关</w:t>
            </w:r>
            <w:r>
              <w:rPr>
                <w:rFonts w:hint="eastAsia" w:asciiTheme="minorEastAsia" w:hAnsiTheme="minorEastAsia" w:eastAsiaTheme="minorEastAsia" w:cstheme="minorEastAsia"/>
                <w:sz w:val="21"/>
                <w:szCs w:val="21"/>
                <w:lang w:eastAsia="zh-CN"/>
              </w:rPr>
              <w:t>，出现故障</w:t>
            </w:r>
            <w:r>
              <w:rPr>
                <w:rFonts w:hint="eastAsia" w:asciiTheme="minorEastAsia" w:hAnsiTheme="minorEastAsia" w:eastAsiaTheme="minorEastAsia" w:cstheme="minorEastAsia"/>
                <w:sz w:val="21"/>
                <w:szCs w:val="21"/>
              </w:rPr>
              <w:t>及时报修</w:t>
            </w:r>
            <w:r>
              <w:rPr>
                <w:rFonts w:hint="eastAsia" w:asciiTheme="minorEastAsia" w:hAnsiTheme="minorEastAsia" w:eastAsiaTheme="minorEastAsia" w:cstheme="minorEastAsia"/>
                <w:sz w:val="21"/>
                <w:szCs w:val="21"/>
                <w:lang w:eastAsia="zh-CN"/>
              </w:rPr>
              <w:t>。</w:t>
            </w:r>
          </w:p>
        </w:tc>
        <w:tc>
          <w:tcPr>
            <w:tcW w:w="1065" w:type="dxa"/>
            <w:noWrap w:val="0"/>
            <w:vAlign w:val="center"/>
          </w:tcPr>
          <w:p>
            <w:pPr>
              <w:spacing w:line="26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技装设备设施维护</w:t>
            </w:r>
          </w:p>
        </w:tc>
        <w:tc>
          <w:tcPr>
            <w:tcW w:w="1110" w:type="dxa"/>
            <w:noWrap w:val="0"/>
            <w:vAlign w:val="center"/>
          </w:tcPr>
          <w:p>
            <w:pPr>
              <w:spacing w:line="26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教导处</w:t>
            </w:r>
          </w:p>
        </w:tc>
      </w:tr>
    </w:tbl>
    <w:p>
      <w:pPr>
        <w:spacing w:line="260" w:lineRule="exact"/>
        <w:ind w:right="90"/>
        <w:jc w:val="right"/>
        <w:rPr>
          <w:rFonts w:hint="eastAsia" w:ascii="宋体" w:hAnsi="宋体"/>
          <w:sz w:val="18"/>
          <w:szCs w:val="18"/>
        </w:rPr>
      </w:pPr>
    </w:p>
    <w:p>
      <w:pPr>
        <w:spacing w:line="260" w:lineRule="exact"/>
        <w:jc w:val="right"/>
        <w:rPr>
          <w:rFonts w:hint="eastAsia" w:ascii="宋体" w:hAnsi="宋体"/>
          <w:szCs w:val="21"/>
        </w:rPr>
      </w:pPr>
      <w:r>
        <w:rPr>
          <w:rFonts w:hint="eastAsia" w:ascii="宋体" w:hAnsi="宋体"/>
          <w:szCs w:val="21"/>
        </w:rPr>
        <w:t>江宁区铜井中心小学</w:t>
      </w:r>
    </w:p>
    <w:p>
      <w:pPr>
        <w:spacing w:line="260" w:lineRule="exact"/>
        <w:jc w:val="right"/>
        <w:rPr>
          <w:rFonts w:hint="eastAsia" w:ascii="宋体" w:hAnsi="宋体"/>
          <w:szCs w:val="21"/>
        </w:rPr>
      </w:pPr>
      <w:r>
        <w:rPr>
          <w:rFonts w:hint="eastAsia" w:ascii="宋体" w:hAnsi="宋体"/>
          <w:szCs w:val="21"/>
        </w:rPr>
        <w:t>20</w:t>
      </w:r>
      <w:r>
        <w:rPr>
          <w:rFonts w:hint="eastAsia" w:ascii="宋体" w:hAnsi="宋体"/>
          <w:szCs w:val="21"/>
          <w:lang w:val="en-US" w:eastAsia="zh-CN"/>
        </w:rPr>
        <w:t>20</w:t>
      </w:r>
      <w:r>
        <w:rPr>
          <w:rFonts w:hint="eastAsia" w:ascii="宋体" w:hAnsi="宋体"/>
          <w:szCs w:val="21"/>
        </w:rPr>
        <w:t>年11月</w:t>
      </w:r>
      <w:r>
        <w:rPr>
          <w:rFonts w:hint="eastAsia" w:ascii="宋体" w:hAnsi="宋体"/>
          <w:szCs w:val="21"/>
          <w:lang w:val="en-US" w:eastAsia="zh-CN"/>
        </w:rPr>
        <w:t>3</w:t>
      </w:r>
      <w:r>
        <w:rPr>
          <w:rFonts w:hint="eastAsia" w:ascii="宋体" w:hAnsi="宋体"/>
          <w:szCs w:val="21"/>
        </w:rPr>
        <w:t>日</w:t>
      </w:r>
    </w:p>
    <w:p/>
    <w:p/>
    <w:sectPr>
      <w:headerReference r:id="rId5" w:type="first"/>
      <w:footerReference r:id="rId8" w:type="first"/>
      <w:headerReference r:id="rId3" w:type="default"/>
      <w:footerReference r:id="rId6" w:type="default"/>
      <w:headerReference r:id="rId4" w:type="even"/>
      <w:footerReference r:id="rId7" w:type="even"/>
      <w:pgSz w:w="11850" w:h="16783"/>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黑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DC264"/>
    <w:multiLevelType w:val="singleLevel"/>
    <w:tmpl w:val="5BFDC26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7003C7"/>
    <w:rsid w:val="0E0A64F2"/>
    <w:rsid w:val="13017F06"/>
    <w:rsid w:val="163D4892"/>
    <w:rsid w:val="28D24029"/>
    <w:rsid w:val="2AA32968"/>
    <w:rsid w:val="2CEE6003"/>
    <w:rsid w:val="32A26565"/>
    <w:rsid w:val="36EB5313"/>
    <w:rsid w:val="40AF5DC7"/>
    <w:rsid w:val="42AB33D4"/>
    <w:rsid w:val="4B1B1D0B"/>
    <w:rsid w:val="4BB4332C"/>
    <w:rsid w:val="4C421D5D"/>
    <w:rsid w:val="50620305"/>
    <w:rsid w:val="56687E3F"/>
    <w:rsid w:val="567003C7"/>
    <w:rsid w:val="59363A2B"/>
    <w:rsid w:val="5FA7598A"/>
    <w:rsid w:val="5FB56D2B"/>
    <w:rsid w:val="60854EB3"/>
    <w:rsid w:val="62A42E12"/>
    <w:rsid w:val="62FC6D40"/>
    <w:rsid w:val="689C179C"/>
    <w:rsid w:val="69FB1772"/>
    <w:rsid w:val="6B853B74"/>
    <w:rsid w:val="6F201904"/>
    <w:rsid w:val="76515101"/>
    <w:rsid w:val="7911071E"/>
    <w:rsid w:val="791C31FF"/>
    <w:rsid w:val="7C0C6A85"/>
    <w:rsid w:val="7F6F0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2019-11-04T00:50:00Z</dcterms:created>
  <dc:creator>许勇</dc:creator>
  <cp:lastModifiedBy>老狼</cp:lastModifiedBy>
  <cp:lastPrinted>2019-11-06T00:07:00Z</cp:lastPrinted>
  <dcterms:modified xsi:type="dcterms:W3CDTF">2020-11-02T01:04:48Z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