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40" w:lineRule="exact"/>
        <w:jc w:val="center"/>
        <w:rPr>
          <w:rFonts w:hint="eastAsia" w:ascii="黑体" w:eastAsia="黑体"/>
          <w:sz w:val="32"/>
          <w:szCs w:val="32"/>
        </w:rPr>
      </w:pPr>
      <w:r>
        <w:rPr>
          <w:rFonts w:hint="eastAsia" w:ascii="黑体" w:eastAsia="黑体"/>
          <w:sz w:val="32"/>
          <w:szCs w:val="32"/>
        </w:rPr>
        <w:t>江宁区铜井中心小学第</w:t>
      </w:r>
      <w:r>
        <w:rPr>
          <w:rFonts w:hint="eastAsia" w:ascii="黑体" w:eastAsia="黑体"/>
          <w:sz w:val="32"/>
          <w:szCs w:val="32"/>
          <w:lang w:val="en-US" w:eastAsia="zh-CN"/>
        </w:rPr>
        <w:t>9</w:t>
      </w:r>
      <w:r>
        <w:rPr>
          <w:rFonts w:hint="eastAsia" w:ascii="黑体" w:eastAsia="黑体"/>
          <w:sz w:val="32"/>
          <w:szCs w:val="32"/>
        </w:rPr>
        <w:t>周工作安排</w:t>
      </w:r>
    </w:p>
    <w:p>
      <w:pPr>
        <w:spacing w:line="340" w:lineRule="exact"/>
        <w:jc w:val="center"/>
        <w:rPr>
          <w:rFonts w:hint="default" w:ascii="黑体" w:eastAsia="黑体"/>
          <w:szCs w:val="21"/>
          <w:lang w:val="en-US" w:eastAsia="zh-CN"/>
        </w:rPr>
      </w:pPr>
      <w:r>
        <w:rPr>
          <w:rFonts w:hint="eastAsia" w:ascii="黑体" w:eastAsia="黑体"/>
          <w:sz w:val="32"/>
          <w:szCs w:val="32"/>
        </w:rPr>
        <w:t xml:space="preserve">                                        </w:t>
      </w:r>
      <w:r>
        <w:rPr>
          <w:rFonts w:hint="eastAsia" w:ascii="黑体" w:eastAsia="黑体"/>
          <w:szCs w:val="21"/>
        </w:rPr>
        <w:t>20</w:t>
      </w:r>
      <w:r>
        <w:rPr>
          <w:rFonts w:hint="eastAsia" w:ascii="黑体" w:eastAsia="黑体"/>
          <w:szCs w:val="21"/>
          <w:lang w:val="en-US" w:eastAsia="zh-CN"/>
        </w:rPr>
        <w:t>20</w:t>
      </w:r>
      <w:r>
        <w:rPr>
          <w:rFonts w:hint="eastAsia" w:ascii="黑体" w:eastAsia="黑体"/>
          <w:szCs w:val="21"/>
        </w:rPr>
        <w:t>.</w:t>
      </w:r>
      <w:r>
        <w:rPr>
          <w:rFonts w:hint="eastAsia" w:ascii="黑体" w:eastAsia="黑体"/>
          <w:szCs w:val="21"/>
          <w:lang w:val="en-US" w:eastAsia="zh-CN"/>
        </w:rPr>
        <w:t>10</w:t>
      </w:r>
      <w:r>
        <w:rPr>
          <w:rFonts w:hint="eastAsia" w:ascii="黑体" w:eastAsia="黑体"/>
          <w:szCs w:val="21"/>
        </w:rPr>
        <w:t>.</w:t>
      </w:r>
      <w:r>
        <w:rPr>
          <w:rFonts w:hint="eastAsia" w:ascii="黑体" w:eastAsia="黑体"/>
          <w:szCs w:val="21"/>
          <w:lang w:val="en-US" w:eastAsia="zh-CN"/>
        </w:rPr>
        <w:t>26</w:t>
      </w:r>
      <w:r>
        <w:rPr>
          <w:rFonts w:hint="eastAsia" w:ascii="黑体" w:eastAsia="黑体"/>
          <w:szCs w:val="21"/>
        </w:rPr>
        <w:t>—</w:t>
      </w:r>
      <w:r>
        <w:rPr>
          <w:rFonts w:hint="eastAsia" w:ascii="黑体" w:eastAsia="黑体"/>
          <w:szCs w:val="21"/>
          <w:lang w:val="en-US" w:eastAsia="zh-CN"/>
        </w:rPr>
        <w:t>10</w:t>
      </w:r>
      <w:r>
        <w:rPr>
          <w:rFonts w:hint="eastAsia" w:ascii="黑体" w:eastAsia="黑体"/>
          <w:szCs w:val="21"/>
        </w:rPr>
        <w:t>.</w:t>
      </w:r>
      <w:r>
        <w:rPr>
          <w:rFonts w:hint="eastAsia" w:ascii="黑体" w:eastAsia="黑体"/>
          <w:szCs w:val="21"/>
          <w:lang w:val="en-US" w:eastAsia="zh-CN"/>
        </w:rPr>
        <w:t>30</w:t>
      </w:r>
    </w:p>
    <w:tbl>
      <w:tblPr>
        <w:tblStyle w:val="3"/>
        <w:tblW w:w="87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6"/>
        <w:gridCol w:w="833"/>
        <w:gridCol w:w="5804"/>
        <w:gridCol w:w="1141"/>
        <w:gridCol w:w="4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3" w:hRule="atLeast"/>
        </w:trPr>
        <w:tc>
          <w:tcPr>
            <w:tcW w:w="1299" w:type="dxa"/>
            <w:gridSpan w:val="2"/>
            <w:noWrap w:val="0"/>
            <w:vAlign w:val="center"/>
          </w:tcPr>
          <w:p>
            <w:pPr>
              <w:jc w:val="center"/>
              <w:rPr>
                <w:rFonts w:hint="eastAsia" w:ascii="黑体" w:eastAsia="黑体"/>
                <w:sz w:val="24"/>
              </w:rPr>
            </w:pPr>
            <w:r>
              <w:rPr>
                <w:rFonts w:hint="eastAsia" w:ascii="黑体" w:eastAsia="黑体"/>
                <w:sz w:val="24"/>
              </w:rPr>
              <w:t>项目内容</w:t>
            </w:r>
          </w:p>
        </w:tc>
        <w:tc>
          <w:tcPr>
            <w:tcW w:w="5804" w:type="dxa"/>
            <w:noWrap w:val="0"/>
            <w:vAlign w:val="center"/>
          </w:tcPr>
          <w:p>
            <w:pPr>
              <w:jc w:val="center"/>
              <w:rPr>
                <w:rFonts w:hint="eastAsia" w:ascii="黑体" w:eastAsia="黑体"/>
                <w:sz w:val="24"/>
              </w:rPr>
            </w:pPr>
            <w:r>
              <w:rPr>
                <w:rFonts w:hint="eastAsia" w:ascii="黑体" w:eastAsia="黑体"/>
                <w:sz w:val="24"/>
              </w:rPr>
              <w:t>具体工作安排</w:t>
            </w:r>
          </w:p>
        </w:tc>
        <w:tc>
          <w:tcPr>
            <w:tcW w:w="1141" w:type="dxa"/>
            <w:noWrap w:val="0"/>
            <w:vAlign w:val="center"/>
          </w:tcPr>
          <w:p>
            <w:pPr>
              <w:jc w:val="center"/>
              <w:rPr>
                <w:rFonts w:hint="eastAsia" w:ascii="黑体" w:eastAsia="黑体"/>
                <w:sz w:val="24"/>
              </w:rPr>
            </w:pPr>
            <w:r>
              <w:rPr>
                <w:rFonts w:hint="eastAsia" w:ascii="黑体" w:eastAsia="黑体"/>
                <w:sz w:val="24"/>
              </w:rPr>
              <w:t>主要责</w:t>
            </w:r>
          </w:p>
          <w:p>
            <w:pPr>
              <w:jc w:val="center"/>
              <w:rPr>
                <w:rFonts w:hint="eastAsia" w:ascii="黑体" w:eastAsia="黑体"/>
                <w:sz w:val="24"/>
              </w:rPr>
            </w:pPr>
            <w:r>
              <w:rPr>
                <w:rFonts w:hint="eastAsia" w:ascii="黑体" w:eastAsia="黑体"/>
                <w:sz w:val="24"/>
              </w:rPr>
              <w:t>任部门</w:t>
            </w:r>
          </w:p>
        </w:tc>
        <w:tc>
          <w:tcPr>
            <w:tcW w:w="495" w:type="dxa"/>
            <w:noWrap w:val="0"/>
            <w:vAlign w:val="center"/>
          </w:tcPr>
          <w:p>
            <w:pPr>
              <w:jc w:val="center"/>
              <w:rPr>
                <w:rFonts w:hint="eastAsia" w:ascii="黑体" w:eastAsia="黑体"/>
                <w:sz w:val="24"/>
              </w:rPr>
            </w:pPr>
            <w:r>
              <w:rPr>
                <w:rFonts w:hint="eastAsia" w:ascii="黑体" w:eastAsia="黑体"/>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66" w:type="dxa"/>
            <w:vMerge w:val="restart"/>
            <w:noWrap w:val="0"/>
            <w:vAlign w:val="center"/>
          </w:tcPr>
          <w:p>
            <w:pPr>
              <w:jc w:val="center"/>
              <w:rPr>
                <w:rFonts w:hint="eastAsia" w:ascii="黑体" w:eastAsia="黑体"/>
                <w:sz w:val="24"/>
              </w:rPr>
            </w:pPr>
            <w:r>
              <w:rPr>
                <w:rFonts w:hint="eastAsia" w:ascii="黑体" w:eastAsia="黑体"/>
                <w:sz w:val="24"/>
              </w:rPr>
              <w:t>思想工作</w:t>
            </w:r>
          </w:p>
        </w:tc>
        <w:tc>
          <w:tcPr>
            <w:tcW w:w="833" w:type="dxa"/>
            <w:noWrap w:val="0"/>
            <w:vAlign w:val="center"/>
          </w:tcPr>
          <w:p>
            <w:pPr>
              <w:jc w:val="center"/>
              <w:rPr>
                <w:rFonts w:hint="eastAsia" w:ascii="黑体" w:eastAsia="黑体"/>
                <w:sz w:val="24"/>
              </w:rPr>
            </w:pPr>
            <w:r>
              <w:rPr>
                <w:rFonts w:hint="eastAsia" w:ascii="黑体" w:eastAsia="黑体"/>
                <w:sz w:val="24"/>
              </w:rPr>
              <w:t>学生</w:t>
            </w:r>
          </w:p>
          <w:p>
            <w:pPr>
              <w:jc w:val="center"/>
              <w:rPr>
                <w:rFonts w:hint="eastAsia" w:ascii="黑体" w:eastAsia="黑体"/>
                <w:sz w:val="24"/>
              </w:rPr>
            </w:pPr>
            <w:r>
              <w:rPr>
                <w:rFonts w:hint="eastAsia" w:ascii="黑体" w:eastAsia="黑体"/>
                <w:sz w:val="24"/>
              </w:rPr>
              <w:t>教育</w:t>
            </w:r>
          </w:p>
        </w:tc>
        <w:tc>
          <w:tcPr>
            <w:tcW w:w="5804" w:type="dxa"/>
            <w:noWrap w:val="0"/>
            <w:vAlign w:val="top"/>
          </w:tcPr>
          <w:p>
            <w:pPr>
              <w:rPr>
                <w:b/>
                <w:bCs/>
              </w:rPr>
            </w:pPr>
            <w:r>
              <w:rPr>
                <w:rFonts w:hint="eastAsia"/>
                <w:b/>
                <w:bCs/>
              </w:rPr>
              <w:t>常规教育：</w:t>
            </w:r>
          </w:p>
          <w:p>
            <w:pPr>
              <w:ind w:firstLine="315" w:firstLineChars="150"/>
              <w:rPr>
                <w:rFonts w:ascii="宋体" w:hAnsi="宋体" w:cs="宋体"/>
                <w:kern w:val="0"/>
                <w:szCs w:val="21"/>
              </w:rPr>
            </w:pPr>
            <w:r>
              <w:rPr>
                <w:rFonts w:hint="eastAsia" w:ascii="宋体" w:hAnsi="宋体" w:cs="宋体"/>
                <w:kern w:val="0"/>
                <w:szCs w:val="21"/>
              </w:rPr>
              <w:t>1.继续加强学生秋季传染病预防的知识宣传，教育学生要在家吃早餐，不吃路边摊。2.继续加强就餐常规训练，餐前餐后管理要有规范可遵守。</w:t>
            </w:r>
          </w:p>
          <w:p>
            <w:pPr>
              <w:rPr>
                <w:b/>
                <w:bCs/>
              </w:rPr>
            </w:pPr>
            <w:r>
              <w:rPr>
                <w:rFonts w:hint="eastAsia"/>
                <w:b/>
                <w:bCs/>
              </w:rPr>
              <w:t>活动开展：</w:t>
            </w:r>
          </w:p>
          <w:p>
            <w:pPr>
              <w:rPr>
                <w:rFonts w:hint="eastAsia" w:ascii="Calibri" w:hAnsi="Calibri" w:eastAsia="宋体" w:cs="Times New Roman"/>
                <w:kern w:val="2"/>
                <w:sz w:val="21"/>
                <w:szCs w:val="24"/>
                <w:lang w:val="en-US" w:eastAsia="zh-CN" w:bidi="ar-SA"/>
              </w:rPr>
            </w:pPr>
            <w:r>
              <w:rPr>
                <w:rFonts w:hint="eastAsia"/>
              </w:rPr>
              <w:t>1</w:t>
            </w:r>
            <w:r>
              <w:rPr>
                <w:rFonts w:hint="eastAsia"/>
                <w:lang w:eastAsia="zh-CN"/>
              </w:rPr>
              <w:t>、</w:t>
            </w:r>
            <w:r>
              <w:rPr>
                <w:rFonts w:hint="eastAsia"/>
              </w:rPr>
              <w:t>一年级家长学校开学典礼及授课。（周二、三下午）</w:t>
            </w:r>
            <w:r>
              <w:rPr>
                <w:rFonts w:hint="eastAsia"/>
                <w:lang w:eastAsia="zh-CN"/>
              </w:rPr>
              <w:t>。</w:t>
            </w:r>
            <w:r>
              <w:rPr>
                <w:rFonts w:hint="eastAsia"/>
                <w:lang w:val="en-US" w:eastAsia="zh-CN"/>
              </w:rPr>
              <w:t>2</w:t>
            </w:r>
            <w:r>
              <w:rPr>
                <w:rFonts w:hint="eastAsia"/>
                <w:lang w:eastAsia="zh-CN"/>
              </w:rPr>
              <w:t>、</w:t>
            </w:r>
            <w:r>
              <w:rPr>
                <w:rFonts w:hint="eastAsia"/>
              </w:rPr>
              <w:t>启动“2020年校园读书节”活动，各班根据方案开展好主题班会，鼓励学生读书节展示活动，组织好各类评比。</w:t>
            </w:r>
            <w:r>
              <w:rPr>
                <w:rFonts w:hint="eastAsia"/>
                <w:lang w:val="en-US" w:eastAsia="zh-CN"/>
              </w:rPr>
              <w:t>3、</w:t>
            </w:r>
            <w:r>
              <w:rPr>
                <w:rFonts w:hint="eastAsia"/>
              </w:rPr>
              <w:t>召开新班主任工作培训会议，加强工作指导。</w:t>
            </w:r>
            <w:r>
              <w:rPr>
                <w:rFonts w:hint="eastAsia"/>
                <w:lang w:val="en-US" w:eastAsia="zh-CN"/>
              </w:rPr>
              <w:t>4、</w:t>
            </w:r>
            <w:r>
              <w:rPr>
                <w:rFonts w:hint="eastAsia"/>
              </w:rPr>
              <w:t>继续高质量完成“</w:t>
            </w:r>
            <w:r>
              <w:t>青骄第二课堂</w:t>
            </w:r>
            <w:r>
              <w:rPr>
                <w:rFonts w:hint="eastAsia"/>
              </w:rPr>
              <w:t>”</w:t>
            </w:r>
            <w:r>
              <w:t>禁毒知识竞赛</w:t>
            </w:r>
            <w:r>
              <w:rPr>
                <w:rFonts w:hint="eastAsia"/>
              </w:rPr>
              <w:t>。</w:t>
            </w:r>
          </w:p>
        </w:tc>
        <w:tc>
          <w:tcPr>
            <w:tcW w:w="1141" w:type="dxa"/>
            <w:noWrap w:val="0"/>
            <w:vAlign w:val="center"/>
          </w:tcPr>
          <w:p>
            <w:pPr>
              <w:jc w:val="center"/>
              <w:rPr>
                <w:rFonts w:hint="eastAsia" w:eastAsia="宋体"/>
                <w:lang w:eastAsia="zh-CN"/>
              </w:rPr>
            </w:pPr>
            <w:r>
              <w:rPr>
                <w:rFonts w:hint="eastAsia"/>
              </w:rPr>
              <w:t>德育处</w:t>
            </w:r>
            <w:r>
              <w:rPr>
                <w:rFonts w:hint="eastAsia"/>
                <w:lang w:eastAsia="zh-CN"/>
              </w:rPr>
              <w:t>、年级段</w:t>
            </w:r>
          </w:p>
        </w:tc>
        <w:tc>
          <w:tcPr>
            <w:tcW w:w="495" w:type="dxa"/>
            <w:noWrap w:val="0"/>
            <w:vAlign w:val="top"/>
          </w:tcPr>
          <w:p>
            <w:pPr>
              <w:rPr>
                <w:rFonts w:hint="eastAsia"/>
              </w:rPr>
            </w:pP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7" w:hRule="atLeast"/>
        </w:trPr>
        <w:tc>
          <w:tcPr>
            <w:tcW w:w="466" w:type="dxa"/>
            <w:vMerge w:val="continue"/>
            <w:noWrap w:val="0"/>
            <w:vAlign w:val="center"/>
          </w:tcPr>
          <w:p>
            <w:pPr>
              <w:jc w:val="center"/>
              <w:rPr>
                <w:rFonts w:hint="eastAsia" w:ascii="黑体" w:eastAsia="黑体"/>
                <w:sz w:val="24"/>
              </w:rPr>
            </w:pPr>
          </w:p>
        </w:tc>
        <w:tc>
          <w:tcPr>
            <w:tcW w:w="833" w:type="dxa"/>
            <w:noWrap w:val="0"/>
            <w:vAlign w:val="center"/>
          </w:tcPr>
          <w:p>
            <w:pPr>
              <w:jc w:val="center"/>
              <w:rPr>
                <w:rFonts w:hint="eastAsia" w:ascii="黑体" w:eastAsia="黑体"/>
                <w:sz w:val="24"/>
              </w:rPr>
            </w:pPr>
            <w:r>
              <w:rPr>
                <w:rFonts w:hint="eastAsia" w:ascii="黑体" w:eastAsia="黑体"/>
                <w:sz w:val="24"/>
              </w:rPr>
              <w:t>体艺卫技</w:t>
            </w:r>
          </w:p>
        </w:tc>
        <w:tc>
          <w:tcPr>
            <w:tcW w:w="5804" w:type="dxa"/>
            <w:noWrap w:val="0"/>
            <w:vAlign w:val="top"/>
          </w:tcPr>
          <w:p>
            <w:pPr>
              <w:widowControl/>
              <w:jc w:val="left"/>
              <w:rPr>
                <w:rFonts w:hint="eastAsia" w:ascii="Calibri" w:hAnsi="Calibri" w:eastAsia="宋体" w:cs="Times New Roman"/>
                <w:kern w:val="2"/>
                <w:sz w:val="21"/>
                <w:szCs w:val="24"/>
                <w:lang w:val="en-US" w:eastAsia="zh-CN" w:bidi="ar-SA"/>
              </w:rPr>
            </w:pPr>
            <w:r>
              <w:rPr>
                <w:rFonts w:hint="eastAsia"/>
                <w:lang w:val="en-US" w:eastAsia="zh-CN"/>
              </w:rPr>
              <w:t>1、参加江苏省定向锦标赛、南京市青少年阳光体育节校园篮球赛，力争取得好成绩。2、体育组筹备铜井小学第九届体育节，暂定11月3-4日。3、合唱队认真排练，准备参加区级比赛。</w:t>
            </w:r>
          </w:p>
        </w:tc>
        <w:tc>
          <w:tcPr>
            <w:tcW w:w="1141" w:type="dxa"/>
            <w:noWrap w:val="0"/>
            <w:vAlign w:val="center"/>
          </w:tcPr>
          <w:p>
            <w:pPr>
              <w:jc w:val="center"/>
              <w:rPr>
                <w:rFonts w:hint="eastAsia"/>
              </w:rPr>
            </w:pPr>
            <w:r>
              <w:rPr>
                <w:rFonts w:hint="eastAsia"/>
              </w:rPr>
              <w:t>德育处</w:t>
            </w:r>
          </w:p>
        </w:tc>
        <w:tc>
          <w:tcPr>
            <w:tcW w:w="495" w:type="dxa"/>
            <w:noWrap w:val="0"/>
            <w:vAlign w:val="top"/>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6" w:hRule="atLeast"/>
        </w:trPr>
        <w:tc>
          <w:tcPr>
            <w:tcW w:w="466" w:type="dxa"/>
            <w:vMerge w:val="restart"/>
            <w:noWrap w:val="0"/>
            <w:vAlign w:val="center"/>
          </w:tcPr>
          <w:p>
            <w:pPr>
              <w:jc w:val="center"/>
              <w:rPr>
                <w:rFonts w:hint="eastAsia" w:ascii="黑体" w:eastAsia="黑体"/>
                <w:sz w:val="24"/>
              </w:rPr>
            </w:pPr>
            <w:r>
              <w:rPr>
                <w:rFonts w:hint="eastAsia" w:ascii="黑体" w:eastAsia="黑体"/>
                <w:sz w:val="24"/>
              </w:rPr>
              <w:t>教学工作</w:t>
            </w:r>
          </w:p>
        </w:tc>
        <w:tc>
          <w:tcPr>
            <w:tcW w:w="833" w:type="dxa"/>
            <w:noWrap w:val="0"/>
            <w:vAlign w:val="center"/>
          </w:tcPr>
          <w:p>
            <w:pPr>
              <w:jc w:val="center"/>
              <w:rPr>
                <w:rFonts w:hint="eastAsia" w:ascii="黑体" w:eastAsia="黑体"/>
                <w:sz w:val="24"/>
              </w:rPr>
            </w:pPr>
            <w:r>
              <w:rPr>
                <w:rFonts w:hint="eastAsia" w:ascii="黑体" w:eastAsia="黑体"/>
                <w:sz w:val="24"/>
              </w:rPr>
              <w:t>教学</w:t>
            </w:r>
          </w:p>
          <w:p>
            <w:pPr>
              <w:jc w:val="center"/>
              <w:rPr>
                <w:rFonts w:hint="eastAsia" w:ascii="黑体" w:eastAsia="黑体"/>
                <w:sz w:val="24"/>
              </w:rPr>
            </w:pPr>
            <w:r>
              <w:rPr>
                <w:rFonts w:hint="eastAsia" w:ascii="黑体" w:eastAsia="黑体"/>
                <w:sz w:val="24"/>
              </w:rPr>
              <w:t>教研</w:t>
            </w:r>
          </w:p>
        </w:tc>
        <w:tc>
          <w:tcPr>
            <w:tcW w:w="5804" w:type="dxa"/>
            <w:noWrap w:val="0"/>
            <w:vAlign w:val="top"/>
          </w:tcPr>
          <w:p>
            <w:pPr>
              <w:numPr>
                <w:numId w:val="0"/>
              </w:numPr>
              <w:ind w:leftChars="0"/>
              <w:rPr>
                <w:rFonts w:hint="eastAsia"/>
              </w:rPr>
            </w:pPr>
            <w:r>
              <w:rPr>
                <w:rFonts w:hint="eastAsia"/>
                <w:lang w:val="en-US" w:eastAsia="zh-CN"/>
              </w:rPr>
              <w:t>1、</w:t>
            </w:r>
            <w:r>
              <w:rPr>
                <w:rFonts w:hint="eastAsia"/>
              </w:rPr>
              <w:t>各教师自查教学进度，做好知识点的梳理，十一周周三（暂定）期中检测。</w:t>
            </w:r>
            <w:r>
              <w:rPr>
                <w:rFonts w:hint="eastAsia"/>
                <w:lang w:val="en-US" w:eastAsia="zh-CN"/>
              </w:rPr>
              <w:t>2、</w:t>
            </w:r>
            <w:r>
              <w:rPr>
                <w:rFonts w:hint="eastAsia"/>
              </w:rPr>
              <w:t>10月29日省学业水平测试，召开相关人员会议。五年级语数外教师根据要求进一步组织四年级知识的梳理与复习，并做好答题卡使用的辅导。</w:t>
            </w:r>
            <w:r>
              <w:rPr>
                <w:rFonts w:hint="eastAsia"/>
                <w:lang w:val="en-US" w:eastAsia="zh-CN"/>
              </w:rPr>
              <w:t>3、</w:t>
            </w:r>
            <w:r>
              <w:rPr>
                <w:rFonts w:hint="eastAsia"/>
              </w:rPr>
              <w:t>英语赛课，10月30日江宁小学，上课教师做好准备。</w:t>
            </w:r>
            <w:r>
              <w:rPr>
                <w:rFonts w:hint="eastAsia"/>
                <w:lang w:val="en-US" w:eastAsia="zh-CN"/>
              </w:rPr>
              <w:t>4、</w:t>
            </w:r>
            <w:r>
              <w:rPr>
                <w:rFonts w:hint="eastAsia"/>
              </w:rPr>
              <w:t>OA系统上传材料。召开相关人员会议，期中前根据要求上传相应材料。</w:t>
            </w:r>
            <w:r>
              <w:rPr>
                <w:rFonts w:hint="eastAsia"/>
                <w:lang w:val="en-US" w:eastAsia="zh-CN"/>
              </w:rPr>
              <w:t>5、</w:t>
            </w:r>
            <w:r>
              <w:rPr>
                <w:rFonts w:hint="eastAsia"/>
              </w:rPr>
              <w:t>十月份视导，各教师做好“五认真”工作的查漏补缺。</w:t>
            </w:r>
          </w:p>
        </w:tc>
        <w:tc>
          <w:tcPr>
            <w:tcW w:w="1141" w:type="dxa"/>
            <w:vMerge w:val="restart"/>
            <w:noWrap w:val="0"/>
            <w:vAlign w:val="center"/>
          </w:tcPr>
          <w:p>
            <w:pPr>
              <w:jc w:val="center"/>
              <w:rPr>
                <w:rFonts w:hint="eastAsia" w:eastAsia="宋体"/>
                <w:lang w:eastAsia="zh-CN"/>
              </w:rPr>
            </w:pPr>
            <w:r>
              <w:rPr>
                <w:rFonts w:hint="eastAsia"/>
              </w:rPr>
              <w:t>教导处</w:t>
            </w:r>
            <w:r>
              <w:rPr>
                <w:rFonts w:hint="eastAsia"/>
                <w:lang w:eastAsia="zh-CN"/>
              </w:rPr>
              <w:t>、两组、年级段</w:t>
            </w:r>
          </w:p>
        </w:tc>
        <w:tc>
          <w:tcPr>
            <w:tcW w:w="495" w:type="dxa"/>
            <w:vMerge w:val="restart"/>
            <w:noWrap w:val="0"/>
            <w:vAlign w:val="top"/>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1" w:hRule="atLeast"/>
        </w:trPr>
        <w:tc>
          <w:tcPr>
            <w:tcW w:w="466" w:type="dxa"/>
            <w:vMerge w:val="continue"/>
            <w:noWrap w:val="0"/>
            <w:vAlign w:val="center"/>
          </w:tcPr>
          <w:p>
            <w:pPr>
              <w:jc w:val="center"/>
              <w:rPr>
                <w:rFonts w:hint="eastAsia" w:ascii="黑体" w:eastAsia="黑体"/>
                <w:sz w:val="24"/>
              </w:rPr>
            </w:pPr>
          </w:p>
        </w:tc>
        <w:tc>
          <w:tcPr>
            <w:tcW w:w="833" w:type="dxa"/>
            <w:noWrap w:val="0"/>
            <w:vAlign w:val="center"/>
          </w:tcPr>
          <w:p>
            <w:pPr>
              <w:jc w:val="center"/>
              <w:rPr>
                <w:rFonts w:hint="eastAsia" w:ascii="黑体" w:eastAsia="黑体"/>
                <w:sz w:val="24"/>
                <w:lang w:eastAsia="zh-CN"/>
              </w:rPr>
            </w:pPr>
            <w:r>
              <w:rPr>
                <w:rFonts w:hint="eastAsia" w:ascii="黑体" w:eastAsia="黑体"/>
                <w:sz w:val="24"/>
                <w:lang w:eastAsia="zh-CN"/>
              </w:rPr>
              <w:t>听课安排</w:t>
            </w:r>
          </w:p>
        </w:tc>
        <w:tc>
          <w:tcPr>
            <w:tcW w:w="5804" w:type="dxa"/>
            <w:noWrap w:val="0"/>
            <w:vAlign w:val="top"/>
          </w:tcPr>
          <w:tbl>
            <w:tblPr>
              <w:tblStyle w:val="2"/>
              <w:tblW w:w="5763" w:type="dxa"/>
              <w:tblInd w:w="0" w:type="dxa"/>
              <w:tblBorders>
                <w:top w:val="none" w:color="auto" w:sz="0" w:space="0"/>
                <w:left w:val="none" w:color="auto" w:sz="0" w:space="0"/>
                <w:bottom w:val="none" w:color="auto" w:sz="0"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601"/>
              <w:gridCol w:w="821"/>
              <w:gridCol w:w="390"/>
              <w:gridCol w:w="765"/>
              <w:gridCol w:w="1665"/>
              <w:gridCol w:w="1521"/>
            </w:tblGrid>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77" w:hRule="atLeast"/>
              </w:trPr>
              <w:tc>
                <w:tcPr>
                  <w:tcW w:w="601" w:type="dxa"/>
                  <w:shd w:val="clear" w:color="auto" w:fill="auto"/>
                  <w:noWrap w:val="0"/>
                  <w:vAlign w:val="center"/>
                </w:tcPr>
                <w:p>
                  <w:pPr>
                    <w:jc w:val="center"/>
                    <w:rPr>
                      <w:rFonts w:hint="eastAsia"/>
                      <w:sz w:val="18"/>
                      <w:szCs w:val="18"/>
                    </w:rPr>
                  </w:pPr>
                  <w:r>
                    <w:rPr>
                      <w:rFonts w:hint="eastAsia"/>
                      <w:sz w:val="18"/>
                      <w:szCs w:val="18"/>
                    </w:rPr>
                    <w:t>星期</w:t>
                  </w:r>
                </w:p>
              </w:tc>
              <w:tc>
                <w:tcPr>
                  <w:tcW w:w="821" w:type="dxa"/>
                  <w:shd w:val="clear" w:color="auto" w:fill="auto"/>
                  <w:noWrap w:val="0"/>
                  <w:vAlign w:val="center"/>
                </w:tcPr>
                <w:p>
                  <w:pPr>
                    <w:jc w:val="center"/>
                    <w:rPr>
                      <w:rFonts w:hint="eastAsia"/>
                      <w:sz w:val="18"/>
                      <w:szCs w:val="18"/>
                    </w:rPr>
                  </w:pPr>
                  <w:r>
                    <w:rPr>
                      <w:rFonts w:hint="eastAsia"/>
                      <w:sz w:val="18"/>
                      <w:szCs w:val="18"/>
                    </w:rPr>
                    <w:t>上课</w:t>
                  </w:r>
                </w:p>
                <w:p>
                  <w:pPr>
                    <w:jc w:val="center"/>
                    <w:rPr>
                      <w:rFonts w:hint="eastAsia"/>
                      <w:sz w:val="18"/>
                      <w:szCs w:val="18"/>
                    </w:rPr>
                  </w:pPr>
                  <w:r>
                    <w:rPr>
                      <w:rFonts w:hint="eastAsia"/>
                      <w:sz w:val="18"/>
                      <w:szCs w:val="18"/>
                    </w:rPr>
                    <w:t>教师</w:t>
                  </w:r>
                </w:p>
              </w:tc>
              <w:tc>
                <w:tcPr>
                  <w:tcW w:w="390" w:type="dxa"/>
                  <w:shd w:val="clear" w:color="auto" w:fill="auto"/>
                  <w:noWrap w:val="0"/>
                  <w:vAlign w:val="center"/>
                </w:tcPr>
                <w:p>
                  <w:pPr>
                    <w:jc w:val="center"/>
                    <w:rPr>
                      <w:rFonts w:hint="eastAsia"/>
                      <w:sz w:val="18"/>
                      <w:szCs w:val="18"/>
                    </w:rPr>
                  </w:pPr>
                  <w:r>
                    <w:rPr>
                      <w:rFonts w:hint="eastAsia"/>
                      <w:sz w:val="18"/>
                      <w:szCs w:val="18"/>
                    </w:rPr>
                    <w:t>节次</w:t>
                  </w:r>
                </w:p>
              </w:tc>
              <w:tc>
                <w:tcPr>
                  <w:tcW w:w="765" w:type="dxa"/>
                  <w:shd w:val="clear" w:color="auto" w:fill="auto"/>
                  <w:noWrap w:val="0"/>
                  <w:vAlign w:val="center"/>
                </w:tcPr>
                <w:p>
                  <w:pPr>
                    <w:jc w:val="center"/>
                    <w:rPr>
                      <w:rFonts w:hint="eastAsia"/>
                      <w:sz w:val="18"/>
                      <w:szCs w:val="18"/>
                    </w:rPr>
                  </w:pPr>
                  <w:r>
                    <w:rPr>
                      <w:rFonts w:hint="eastAsia"/>
                      <w:sz w:val="18"/>
                      <w:szCs w:val="18"/>
                    </w:rPr>
                    <w:t>班级</w:t>
                  </w:r>
                </w:p>
              </w:tc>
              <w:tc>
                <w:tcPr>
                  <w:tcW w:w="1665" w:type="dxa"/>
                  <w:shd w:val="clear" w:color="auto" w:fill="auto"/>
                  <w:noWrap w:val="0"/>
                  <w:vAlign w:val="center"/>
                </w:tcPr>
                <w:p>
                  <w:pPr>
                    <w:jc w:val="center"/>
                    <w:rPr>
                      <w:rFonts w:hint="eastAsia"/>
                      <w:sz w:val="18"/>
                      <w:szCs w:val="18"/>
                    </w:rPr>
                  </w:pPr>
                  <w:r>
                    <w:rPr>
                      <w:rFonts w:hint="eastAsia"/>
                      <w:sz w:val="18"/>
                      <w:szCs w:val="18"/>
                    </w:rPr>
                    <w:t>内   容</w:t>
                  </w:r>
                </w:p>
              </w:tc>
              <w:tc>
                <w:tcPr>
                  <w:tcW w:w="1521" w:type="dxa"/>
                  <w:shd w:val="clear" w:color="auto" w:fill="auto"/>
                  <w:noWrap w:val="0"/>
                  <w:vAlign w:val="center"/>
                </w:tcPr>
                <w:p>
                  <w:pPr>
                    <w:jc w:val="center"/>
                    <w:rPr>
                      <w:rFonts w:hint="eastAsia"/>
                      <w:sz w:val="18"/>
                      <w:szCs w:val="18"/>
                    </w:rPr>
                  </w:pPr>
                  <w:r>
                    <w:rPr>
                      <w:rFonts w:hint="eastAsia"/>
                      <w:sz w:val="18"/>
                      <w:szCs w:val="18"/>
                    </w:rPr>
                    <w:t>听课教师</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50" w:hRule="atLeast"/>
              </w:trPr>
              <w:tc>
                <w:tcPr>
                  <w:tcW w:w="601" w:type="dxa"/>
                  <w:shd w:val="clear" w:color="auto" w:fill="auto"/>
                  <w:noWrap w:val="0"/>
                  <w:vAlign w:val="center"/>
                </w:tcPr>
                <w:p>
                  <w:pPr>
                    <w:ind w:firstLine="90" w:firstLineChars="50"/>
                    <w:rPr>
                      <w:rFonts w:hint="eastAsia"/>
                      <w:sz w:val="18"/>
                      <w:szCs w:val="18"/>
                    </w:rPr>
                  </w:pPr>
                  <w:r>
                    <w:rPr>
                      <w:rFonts w:hint="eastAsia"/>
                      <w:sz w:val="18"/>
                      <w:szCs w:val="18"/>
                    </w:rPr>
                    <w:t>一</w:t>
                  </w:r>
                </w:p>
              </w:tc>
              <w:tc>
                <w:tcPr>
                  <w:tcW w:w="821" w:type="dxa"/>
                  <w:shd w:val="clear" w:color="auto" w:fill="auto"/>
                  <w:noWrap w:val="0"/>
                  <w:vAlign w:val="center"/>
                </w:tcPr>
                <w:p>
                  <w:pPr>
                    <w:jc w:val="center"/>
                    <w:rPr>
                      <w:rFonts w:ascii="宋体" w:hAnsi="宋体" w:cs="宋体"/>
                      <w:sz w:val="18"/>
                      <w:szCs w:val="18"/>
                    </w:rPr>
                  </w:pPr>
                  <w:r>
                    <w:rPr>
                      <w:rFonts w:hint="eastAsia"/>
                      <w:sz w:val="18"/>
                      <w:szCs w:val="18"/>
                    </w:rPr>
                    <w:t>张园园</w:t>
                  </w:r>
                </w:p>
              </w:tc>
              <w:tc>
                <w:tcPr>
                  <w:tcW w:w="390" w:type="dxa"/>
                  <w:shd w:val="clear" w:color="auto" w:fill="auto"/>
                  <w:noWrap w:val="0"/>
                  <w:vAlign w:val="center"/>
                </w:tcPr>
                <w:p>
                  <w:pPr>
                    <w:jc w:val="center"/>
                    <w:rPr>
                      <w:rFonts w:ascii="宋体" w:hAnsi="宋体" w:cs="宋体"/>
                      <w:color w:val="000000"/>
                      <w:sz w:val="18"/>
                      <w:szCs w:val="18"/>
                    </w:rPr>
                  </w:pPr>
                  <w:r>
                    <w:rPr>
                      <w:rFonts w:hint="eastAsia" w:ascii="宋体" w:hAnsi="宋体" w:cs="宋体"/>
                      <w:color w:val="000000"/>
                      <w:sz w:val="18"/>
                      <w:szCs w:val="18"/>
                    </w:rPr>
                    <w:t>1</w:t>
                  </w:r>
                </w:p>
              </w:tc>
              <w:tc>
                <w:tcPr>
                  <w:tcW w:w="765" w:type="dxa"/>
                  <w:shd w:val="clear" w:color="auto" w:fill="auto"/>
                  <w:noWrap w:val="0"/>
                  <w:vAlign w:val="center"/>
                </w:tcPr>
                <w:p>
                  <w:pPr>
                    <w:jc w:val="center"/>
                    <w:rPr>
                      <w:rFonts w:ascii="宋体" w:hAnsi="宋体" w:cs="宋体"/>
                      <w:color w:val="000000"/>
                      <w:sz w:val="18"/>
                      <w:szCs w:val="18"/>
                    </w:rPr>
                  </w:pPr>
                  <w:r>
                    <w:rPr>
                      <w:rFonts w:hint="eastAsia"/>
                      <w:color w:val="000000"/>
                      <w:sz w:val="18"/>
                      <w:szCs w:val="18"/>
                    </w:rPr>
                    <w:t>一（5）</w:t>
                  </w:r>
                </w:p>
              </w:tc>
              <w:tc>
                <w:tcPr>
                  <w:tcW w:w="1665" w:type="dxa"/>
                  <w:shd w:val="clear" w:color="auto" w:fill="auto"/>
                  <w:noWrap w:val="0"/>
                  <w:vAlign w:val="center"/>
                </w:tcPr>
                <w:p>
                  <w:pPr>
                    <w:jc w:val="center"/>
                    <w:rPr>
                      <w:rFonts w:ascii="宋体" w:hAnsi="宋体" w:cs="宋体"/>
                      <w:color w:val="000000"/>
                      <w:sz w:val="18"/>
                      <w:szCs w:val="18"/>
                    </w:rPr>
                  </w:pPr>
                  <w:r>
                    <w:rPr>
                      <w:rFonts w:hint="eastAsia"/>
                      <w:color w:val="000000"/>
                      <w:sz w:val="18"/>
                      <w:szCs w:val="18"/>
                    </w:rPr>
                    <w:t>秋天</w:t>
                  </w:r>
                </w:p>
              </w:tc>
              <w:tc>
                <w:tcPr>
                  <w:tcW w:w="1521" w:type="dxa"/>
                  <w:shd w:val="clear" w:color="auto" w:fill="auto"/>
                  <w:noWrap w:val="0"/>
                  <w:vAlign w:val="center"/>
                </w:tcPr>
                <w:p>
                  <w:pPr>
                    <w:rPr>
                      <w:rFonts w:ascii="宋体" w:hAnsi="宋体" w:cs="宋体"/>
                      <w:color w:val="000000"/>
                      <w:sz w:val="18"/>
                      <w:szCs w:val="18"/>
                    </w:rPr>
                  </w:pPr>
                  <w:r>
                    <w:rPr>
                      <w:rFonts w:hint="eastAsia"/>
                      <w:color w:val="000000"/>
                      <w:sz w:val="18"/>
                      <w:szCs w:val="18"/>
                    </w:rPr>
                    <w:t>葛婕  低语组</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77" w:hRule="atLeast"/>
              </w:trPr>
              <w:tc>
                <w:tcPr>
                  <w:tcW w:w="601" w:type="dxa"/>
                  <w:shd w:val="clear" w:color="auto" w:fill="auto"/>
                  <w:noWrap w:val="0"/>
                  <w:vAlign w:val="center"/>
                </w:tcPr>
                <w:p>
                  <w:pPr>
                    <w:jc w:val="center"/>
                    <w:rPr>
                      <w:rFonts w:hint="eastAsia"/>
                      <w:sz w:val="18"/>
                      <w:szCs w:val="18"/>
                    </w:rPr>
                  </w:pPr>
                  <w:r>
                    <w:rPr>
                      <w:rFonts w:hint="eastAsia"/>
                      <w:sz w:val="18"/>
                      <w:szCs w:val="18"/>
                    </w:rPr>
                    <w:t>二</w:t>
                  </w:r>
                </w:p>
              </w:tc>
              <w:tc>
                <w:tcPr>
                  <w:tcW w:w="821" w:type="dxa"/>
                  <w:shd w:val="clear" w:color="auto" w:fill="auto"/>
                  <w:noWrap w:val="0"/>
                  <w:vAlign w:val="center"/>
                </w:tcPr>
                <w:p>
                  <w:pPr>
                    <w:jc w:val="center"/>
                    <w:rPr>
                      <w:rFonts w:ascii="宋体" w:hAnsi="宋体" w:cs="宋体"/>
                      <w:color w:val="000000"/>
                      <w:sz w:val="18"/>
                      <w:szCs w:val="18"/>
                    </w:rPr>
                  </w:pPr>
                  <w:r>
                    <w:rPr>
                      <w:rFonts w:hint="eastAsia"/>
                      <w:color w:val="000000"/>
                      <w:sz w:val="18"/>
                      <w:szCs w:val="18"/>
                    </w:rPr>
                    <w:t>刘  倩</w:t>
                  </w:r>
                </w:p>
              </w:tc>
              <w:tc>
                <w:tcPr>
                  <w:tcW w:w="390" w:type="dxa"/>
                  <w:shd w:val="clear" w:color="auto" w:fill="auto"/>
                  <w:noWrap w:val="0"/>
                  <w:vAlign w:val="center"/>
                </w:tcPr>
                <w:p>
                  <w:pPr>
                    <w:jc w:val="center"/>
                    <w:rPr>
                      <w:rFonts w:ascii="宋体" w:hAnsi="宋体" w:cs="宋体"/>
                      <w:color w:val="000000"/>
                      <w:sz w:val="18"/>
                      <w:szCs w:val="18"/>
                    </w:rPr>
                  </w:pPr>
                  <w:r>
                    <w:rPr>
                      <w:rFonts w:hint="eastAsia" w:ascii="宋体" w:hAnsi="宋体" w:cs="宋体"/>
                      <w:color w:val="000000"/>
                      <w:sz w:val="18"/>
                      <w:szCs w:val="18"/>
                    </w:rPr>
                    <w:t>2</w:t>
                  </w:r>
                </w:p>
              </w:tc>
              <w:tc>
                <w:tcPr>
                  <w:tcW w:w="765" w:type="dxa"/>
                  <w:shd w:val="clear" w:color="auto" w:fill="auto"/>
                  <w:noWrap w:val="0"/>
                  <w:vAlign w:val="center"/>
                </w:tcPr>
                <w:p>
                  <w:pPr>
                    <w:jc w:val="center"/>
                    <w:rPr>
                      <w:rFonts w:ascii="Arial" w:hAnsi="Arial" w:cs="Arial"/>
                      <w:color w:val="000000"/>
                      <w:sz w:val="18"/>
                      <w:szCs w:val="18"/>
                    </w:rPr>
                  </w:pPr>
                  <w:r>
                    <w:rPr>
                      <w:rFonts w:hint="eastAsia" w:cs="Arial"/>
                      <w:color w:val="000000"/>
                      <w:sz w:val="18"/>
                      <w:szCs w:val="18"/>
                    </w:rPr>
                    <w:t>一（</w:t>
                  </w:r>
                  <w:r>
                    <w:rPr>
                      <w:rFonts w:ascii="Arial" w:hAnsi="Arial" w:cs="Arial"/>
                      <w:color w:val="000000"/>
                      <w:sz w:val="18"/>
                      <w:szCs w:val="18"/>
                    </w:rPr>
                    <w:t>3</w:t>
                  </w:r>
                  <w:r>
                    <w:rPr>
                      <w:rFonts w:hint="eastAsia" w:cs="Arial"/>
                      <w:color w:val="000000"/>
                      <w:sz w:val="18"/>
                      <w:szCs w:val="18"/>
                    </w:rPr>
                    <w:t>）</w:t>
                  </w:r>
                </w:p>
              </w:tc>
              <w:tc>
                <w:tcPr>
                  <w:tcW w:w="1665" w:type="dxa"/>
                  <w:shd w:val="clear" w:color="auto" w:fill="auto"/>
                  <w:noWrap w:val="0"/>
                  <w:vAlign w:val="center"/>
                </w:tcPr>
                <w:p>
                  <w:pPr>
                    <w:jc w:val="center"/>
                    <w:rPr>
                      <w:rFonts w:ascii="宋体" w:hAnsi="宋体" w:cs="宋体"/>
                      <w:color w:val="000000"/>
                      <w:sz w:val="18"/>
                      <w:szCs w:val="18"/>
                    </w:rPr>
                  </w:pPr>
                  <w:r>
                    <w:rPr>
                      <w:rFonts w:hint="eastAsia"/>
                      <w:color w:val="000000"/>
                      <w:sz w:val="18"/>
                      <w:szCs w:val="18"/>
                    </w:rPr>
                    <w:t>《得数是8的加法和相应的减法》</w:t>
                  </w:r>
                </w:p>
              </w:tc>
              <w:tc>
                <w:tcPr>
                  <w:tcW w:w="1521" w:type="dxa"/>
                  <w:shd w:val="clear" w:color="auto" w:fill="auto"/>
                  <w:noWrap w:val="0"/>
                  <w:vAlign w:val="center"/>
                </w:tcPr>
                <w:p>
                  <w:pPr>
                    <w:rPr>
                      <w:rFonts w:ascii="宋体" w:hAnsi="宋体" w:cs="宋体"/>
                      <w:color w:val="000000"/>
                      <w:sz w:val="18"/>
                      <w:szCs w:val="18"/>
                    </w:rPr>
                  </w:pPr>
                  <w:r>
                    <w:rPr>
                      <w:rFonts w:hint="eastAsia"/>
                      <w:color w:val="000000"/>
                      <w:sz w:val="18"/>
                      <w:szCs w:val="18"/>
                    </w:rPr>
                    <w:t>严荣祥 低数组</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50" w:hRule="atLeast"/>
              </w:trPr>
              <w:tc>
                <w:tcPr>
                  <w:tcW w:w="601" w:type="dxa"/>
                  <w:shd w:val="clear" w:color="auto" w:fill="auto"/>
                  <w:noWrap w:val="0"/>
                  <w:vAlign w:val="center"/>
                </w:tcPr>
                <w:p>
                  <w:pPr>
                    <w:jc w:val="center"/>
                    <w:rPr>
                      <w:rFonts w:hint="eastAsia"/>
                      <w:sz w:val="18"/>
                      <w:szCs w:val="18"/>
                    </w:rPr>
                  </w:pPr>
                  <w:r>
                    <w:rPr>
                      <w:rFonts w:hint="eastAsia"/>
                      <w:sz w:val="18"/>
                      <w:szCs w:val="18"/>
                    </w:rPr>
                    <w:t>三</w:t>
                  </w:r>
                </w:p>
              </w:tc>
              <w:tc>
                <w:tcPr>
                  <w:tcW w:w="821" w:type="dxa"/>
                  <w:shd w:val="clear" w:color="auto" w:fill="auto"/>
                  <w:noWrap w:val="0"/>
                  <w:vAlign w:val="center"/>
                </w:tcPr>
                <w:p>
                  <w:pPr>
                    <w:jc w:val="center"/>
                    <w:rPr>
                      <w:rFonts w:ascii="宋体" w:hAnsi="宋体" w:cs="宋体"/>
                      <w:color w:val="000000"/>
                      <w:sz w:val="18"/>
                      <w:szCs w:val="18"/>
                    </w:rPr>
                  </w:pPr>
                  <w:r>
                    <w:rPr>
                      <w:rFonts w:hint="eastAsia"/>
                      <w:color w:val="000000"/>
                      <w:sz w:val="18"/>
                      <w:szCs w:val="18"/>
                    </w:rPr>
                    <w:t>石  丽</w:t>
                  </w:r>
                </w:p>
              </w:tc>
              <w:tc>
                <w:tcPr>
                  <w:tcW w:w="390" w:type="dxa"/>
                  <w:shd w:val="clear" w:color="auto" w:fill="auto"/>
                  <w:noWrap w:val="0"/>
                  <w:vAlign w:val="center"/>
                </w:tcPr>
                <w:p>
                  <w:pPr>
                    <w:jc w:val="center"/>
                    <w:rPr>
                      <w:rFonts w:ascii="宋体" w:hAnsi="宋体" w:cs="宋体"/>
                      <w:color w:val="000000"/>
                      <w:sz w:val="18"/>
                      <w:szCs w:val="18"/>
                    </w:rPr>
                  </w:pPr>
                  <w:r>
                    <w:rPr>
                      <w:rFonts w:hint="eastAsia" w:ascii="宋体" w:hAnsi="宋体" w:cs="宋体"/>
                      <w:color w:val="000000"/>
                      <w:sz w:val="18"/>
                      <w:szCs w:val="18"/>
                    </w:rPr>
                    <w:t>3</w:t>
                  </w:r>
                </w:p>
              </w:tc>
              <w:tc>
                <w:tcPr>
                  <w:tcW w:w="765" w:type="dxa"/>
                  <w:shd w:val="clear" w:color="auto" w:fill="auto"/>
                  <w:noWrap w:val="0"/>
                  <w:vAlign w:val="center"/>
                </w:tcPr>
                <w:p>
                  <w:pPr>
                    <w:jc w:val="center"/>
                    <w:rPr>
                      <w:rFonts w:ascii="宋体" w:hAnsi="宋体" w:cs="宋体"/>
                      <w:color w:val="000000"/>
                      <w:sz w:val="18"/>
                      <w:szCs w:val="18"/>
                    </w:rPr>
                  </w:pPr>
                  <w:r>
                    <w:rPr>
                      <w:rFonts w:hint="eastAsia"/>
                      <w:color w:val="000000"/>
                      <w:sz w:val="18"/>
                      <w:szCs w:val="18"/>
                    </w:rPr>
                    <w:t>四（6）</w:t>
                  </w:r>
                </w:p>
              </w:tc>
              <w:tc>
                <w:tcPr>
                  <w:tcW w:w="1665" w:type="dxa"/>
                  <w:shd w:val="clear" w:color="auto" w:fill="auto"/>
                  <w:noWrap w:val="0"/>
                  <w:vAlign w:val="center"/>
                </w:tcPr>
                <w:p>
                  <w:pPr>
                    <w:jc w:val="center"/>
                    <w:rPr>
                      <w:rFonts w:ascii="宋体" w:hAnsi="宋体" w:cs="宋体"/>
                      <w:color w:val="000000"/>
                      <w:sz w:val="18"/>
                      <w:szCs w:val="18"/>
                    </w:rPr>
                  </w:pPr>
                  <w:r>
                    <w:rPr>
                      <w:rFonts w:hint="eastAsia"/>
                      <w:color w:val="000000"/>
                      <w:sz w:val="18"/>
                      <w:szCs w:val="18"/>
                    </w:rPr>
                    <w:t>待定</w:t>
                  </w:r>
                </w:p>
              </w:tc>
              <w:tc>
                <w:tcPr>
                  <w:tcW w:w="1521" w:type="dxa"/>
                  <w:shd w:val="clear" w:color="auto" w:fill="auto"/>
                  <w:noWrap w:val="0"/>
                  <w:vAlign w:val="center"/>
                </w:tcPr>
                <w:p>
                  <w:pPr>
                    <w:rPr>
                      <w:rFonts w:ascii="宋体" w:hAnsi="宋体" w:cs="宋体"/>
                      <w:color w:val="000000"/>
                      <w:sz w:val="18"/>
                      <w:szCs w:val="18"/>
                    </w:rPr>
                  </w:pPr>
                  <w:r>
                    <w:rPr>
                      <w:rFonts w:hint="eastAsia"/>
                      <w:color w:val="000000"/>
                      <w:sz w:val="18"/>
                      <w:szCs w:val="18"/>
                    </w:rPr>
                    <w:t>倪筛琴 中语组</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50" w:hRule="atLeast"/>
              </w:trPr>
              <w:tc>
                <w:tcPr>
                  <w:tcW w:w="601" w:type="dxa"/>
                  <w:shd w:val="clear" w:color="auto" w:fill="auto"/>
                  <w:noWrap w:val="0"/>
                  <w:vAlign w:val="center"/>
                </w:tcPr>
                <w:p>
                  <w:pPr>
                    <w:jc w:val="center"/>
                    <w:rPr>
                      <w:rFonts w:hint="eastAsia"/>
                      <w:sz w:val="18"/>
                      <w:szCs w:val="18"/>
                    </w:rPr>
                  </w:pPr>
                  <w:r>
                    <w:rPr>
                      <w:rFonts w:hint="eastAsia"/>
                      <w:sz w:val="18"/>
                      <w:szCs w:val="18"/>
                    </w:rPr>
                    <w:t>五</w:t>
                  </w:r>
                </w:p>
              </w:tc>
              <w:tc>
                <w:tcPr>
                  <w:tcW w:w="821" w:type="dxa"/>
                  <w:shd w:val="clear" w:color="auto" w:fill="auto"/>
                  <w:noWrap w:val="0"/>
                  <w:vAlign w:val="center"/>
                </w:tcPr>
                <w:p>
                  <w:pPr>
                    <w:jc w:val="center"/>
                    <w:rPr>
                      <w:rFonts w:ascii="宋体" w:hAnsi="宋体" w:cs="宋体"/>
                      <w:color w:val="000000"/>
                      <w:sz w:val="18"/>
                      <w:szCs w:val="18"/>
                    </w:rPr>
                  </w:pPr>
                  <w:r>
                    <w:rPr>
                      <w:rFonts w:hint="eastAsia" w:ascii="宋体" w:hAnsi="宋体" w:cs="宋体"/>
                      <w:color w:val="000000"/>
                      <w:sz w:val="18"/>
                      <w:szCs w:val="18"/>
                    </w:rPr>
                    <w:t>许紫薇</w:t>
                  </w:r>
                </w:p>
              </w:tc>
              <w:tc>
                <w:tcPr>
                  <w:tcW w:w="390" w:type="dxa"/>
                  <w:shd w:val="clear" w:color="auto" w:fill="auto"/>
                  <w:noWrap w:val="0"/>
                  <w:vAlign w:val="center"/>
                </w:tcPr>
                <w:p>
                  <w:pPr>
                    <w:jc w:val="center"/>
                    <w:rPr>
                      <w:rFonts w:ascii="宋体" w:hAnsi="宋体" w:cs="宋体"/>
                      <w:color w:val="000000"/>
                      <w:sz w:val="18"/>
                      <w:szCs w:val="18"/>
                    </w:rPr>
                  </w:pPr>
                  <w:r>
                    <w:rPr>
                      <w:rFonts w:hint="eastAsia" w:ascii="宋体" w:hAnsi="宋体" w:cs="宋体"/>
                      <w:color w:val="000000"/>
                      <w:sz w:val="18"/>
                      <w:szCs w:val="18"/>
                    </w:rPr>
                    <w:t>1</w:t>
                  </w:r>
                </w:p>
              </w:tc>
              <w:tc>
                <w:tcPr>
                  <w:tcW w:w="765" w:type="dxa"/>
                  <w:shd w:val="clear" w:color="auto" w:fill="auto"/>
                  <w:noWrap w:val="0"/>
                  <w:vAlign w:val="center"/>
                </w:tcPr>
                <w:p>
                  <w:pPr>
                    <w:jc w:val="center"/>
                    <w:rPr>
                      <w:rFonts w:ascii="宋体" w:hAnsi="宋体" w:cs="宋体"/>
                      <w:color w:val="000000"/>
                      <w:sz w:val="18"/>
                      <w:szCs w:val="18"/>
                    </w:rPr>
                  </w:pPr>
                  <w:r>
                    <w:rPr>
                      <w:rFonts w:hint="eastAsia" w:ascii="宋体" w:hAnsi="宋体" w:cs="宋体"/>
                      <w:color w:val="000000"/>
                      <w:sz w:val="18"/>
                      <w:szCs w:val="18"/>
                    </w:rPr>
                    <w:t>六（2）</w:t>
                  </w:r>
                </w:p>
              </w:tc>
              <w:tc>
                <w:tcPr>
                  <w:tcW w:w="1665" w:type="dxa"/>
                  <w:shd w:val="clear" w:color="auto" w:fill="auto"/>
                  <w:noWrap w:val="0"/>
                  <w:vAlign w:val="center"/>
                </w:tcPr>
                <w:p>
                  <w:pPr>
                    <w:jc w:val="center"/>
                    <w:rPr>
                      <w:rFonts w:ascii="宋体" w:hAnsi="宋体" w:cs="宋体"/>
                      <w:color w:val="000000"/>
                      <w:sz w:val="18"/>
                      <w:szCs w:val="18"/>
                    </w:rPr>
                  </w:pPr>
                  <w:r>
                    <w:rPr>
                      <w:rFonts w:hint="eastAsia" w:ascii="宋体" w:hAnsi="宋体" w:cs="宋体"/>
                      <w:color w:val="000000"/>
                      <w:sz w:val="18"/>
                      <w:szCs w:val="18"/>
                    </w:rPr>
                    <w:t>解决问题的策略</w:t>
                  </w:r>
                </w:p>
              </w:tc>
              <w:tc>
                <w:tcPr>
                  <w:tcW w:w="1521" w:type="dxa"/>
                  <w:shd w:val="clear" w:color="auto" w:fill="auto"/>
                  <w:noWrap w:val="0"/>
                  <w:vAlign w:val="center"/>
                </w:tcPr>
                <w:p>
                  <w:pPr>
                    <w:rPr>
                      <w:rFonts w:ascii="宋体" w:hAnsi="宋体" w:cs="宋体"/>
                      <w:color w:val="000000"/>
                      <w:sz w:val="18"/>
                      <w:szCs w:val="18"/>
                    </w:rPr>
                  </w:pPr>
                  <w:r>
                    <w:rPr>
                      <w:rFonts w:hint="eastAsia" w:ascii="宋体" w:hAnsi="宋体" w:cs="宋体"/>
                      <w:color w:val="000000"/>
                      <w:sz w:val="18"/>
                      <w:szCs w:val="18"/>
                    </w:rPr>
                    <w:t>戴军 高数组</w:t>
                  </w:r>
                </w:p>
              </w:tc>
            </w:tr>
          </w:tbl>
          <w:p>
            <w:pPr>
              <w:rPr>
                <w:rFonts w:hint="eastAsia"/>
                <w:lang w:val="en-US" w:eastAsia="zh-CN"/>
              </w:rPr>
            </w:pPr>
          </w:p>
        </w:tc>
        <w:tc>
          <w:tcPr>
            <w:tcW w:w="1141" w:type="dxa"/>
            <w:vMerge w:val="continue"/>
            <w:noWrap w:val="0"/>
            <w:vAlign w:val="center"/>
          </w:tcPr>
          <w:p>
            <w:pPr>
              <w:jc w:val="center"/>
              <w:rPr>
                <w:rFonts w:hint="eastAsia"/>
              </w:rPr>
            </w:pPr>
          </w:p>
        </w:tc>
        <w:tc>
          <w:tcPr>
            <w:tcW w:w="495" w:type="dxa"/>
            <w:vMerge w:val="continue"/>
            <w:noWrap w:val="0"/>
            <w:vAlign w:val="top"/>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1" w:hRule="atLeast"/>
        </w:trPr>
        <w:tc>
          <w:tcPr>
            <w:tcW w:w="1299" w:type="dxa"/>
            <w:gridSpan w:val="2"/>
            <w:noWrap w:val="0"/>
            <w:vAlign w:val="center"/>
          </w:tcPr>
          <w:p>
            <w:pPr>
              <w:jc w:val="center"/>
              <w:rPr>
                <w:rFonts w:hint="eastAsia" w:ascii="黑体" w:eastAsia="黑体"/>
                <w:sz w:val="24"/>
              </w:rPr>
            </w:pPr>
            <w:r>
              <w:rPr>
                <w:rFonts w:hint="eastAsia" w:ascii="黑体" w:eastAsia="黑体"/>
                <w:sz w:val="24"/>
              </w:rPr>
              <w:t>后勤</w:t>
            </w:r>
          </w:p>
          <w:p>
            <w:pPr>
              <w:jc w:val="center"/>
              <w:rPr>
                <w:rFonts w:hint="eastAsia" w:ascii="黑体" w:eastAsia="黑体"/>
                <w:sz w:val="24"/>
                <w:lang w:eastAsia="zh-CN"/>
              </w:rPr>
            </w:pPr>
            <w:r>
              <w:rPr>
                <w:rFonts w:hint="eastAsia" w:ascii="黑体" w:eastAsia="黑体"/>
                <w:sz w:val="24"/>
                <w:lang w:eastAsia="zh-CN"/>
              </w:rPr>
              <w:t>安全</w:t>
            </w:r>
          </w:p>
          <w:p>
            <w:pPr>
              <w:jc w:val="center"/>
              <w:rPr>
                <w:rFonts w:hint="eastAsia" w:ascii="黑体" w:eastAsia="黑体"/>
                <w:sz w:val="24"/>
              </w:rPr>
            </w:pPr>
            <w:r>
              <w:rPr>
                <w:rFonts w:hint="eastAsia" w:ascii="黑体" w:eastAsia="黑体"/>
                <w:sz w:val="24"/>
              </w:rPr>
              <w:t>工作</w:t>
            </w:r>
          </w:p>
        </w:tc>
        <w:tc>
          <w:tcPr>
            <w:tcW w:w="5804" w:type="dxa"/>
            <w:noWrap w:val="0"/>
            <w:vAlign w:val="top"/>
          </w:tcPr>
          <w:p>
            <w:pPr>
              <w:rPr>
                <w:rFonts w:hint="eastAsia" w:eastAsia="宋体"/>
                <w:lang w:eastAsia="zh-CN"/>
              </w:rPr>
            </w:pPr>
            <w:r>
              <w:rPr>
                <w:rFonts w:hint="eastAsia" w:asciiTheme="minorEastAsia" w:hAnsiTheme="minorEastAsia" w:eastAsiaTheme="minorEastAsia" w:cstheme="minorEastAsia"/>
                <w:sz w:val="21"/>
                <w:szCs w:val="21"/>
                <w:shd w:val="clear" w:color="auto" w:fill="FFFFFF"/>
              </w:rPr>
              <w:t>1、组织中年级防震演练。</w:t>
            </w:r>
            <w:r>
              <w:rPr>
                <w:rFonts w:hint="eastAsia" w:asciiTheme="minorEastAsia" w:hAnsiTheme="minorEastAsia" w:eastAsiaTheme="minorEastAsia" w:cstheme="minorEastAsia"/>
                <w:sz w:val="21"/>
                <w:szCs w:val="21"/>
              </w:rPr>
              <w:t>2、班主任积极做好安全教育平台的授课，督促学生完成作业，每周五发送安全提醒。</w:t>
            </w:r>
            <w:r>
              <w:rPr>
                <w:rFonts w:hint="eastAsia" w:asciiTheme="minorEastAsia" w:hAnsiTheme="minorEastAsia" w:eastAsiaTheme="minorEastAsia" w:cstheme="minorEastAsia"/>
                <w:kern w:val="0"/>
                <w:sz w:val="21"/>
                <w:szCs w:val="21"/>
                <w:lang w:val="en-US" w:eastAsia="zh-CN"/>
              </w:rPr>
              <w:t>3、</w:t>
            </w:r>
            <w:r>
              <w:rPr>
                <w:rFonts w:hint="eastAsia" w:asciiTheme="minorEastAsia" w:hAnsiTheme="minorEastAsia" w:eastAsiaTheme="minorEastAsia" w:cstheme="minorEastAsia"/>
                <w:kern w:val="0"/>
                <w:sz w:val="21"/>
                <w:szCs w:val="21"/>
              </w:rPr>
              <w:t>根据新的《食品安全法》，继续加强学校食堂食材管理，把好食材质量关，确保食品安全</w:t>
            </w:r>
            <w:r>
              <w:rPr>
                <w:rFonts w:hint="eastAsia" w:asciiTheme="minorEastAsia" w:hAnsiTheme="minorEastAsia" w:eastAsiaTheme="minorEastAsia" w:cstheme="minorEastAsia"/>
                <w:kern w:val="0"/>
                <w:sz w:val="21"/>
                <w:szCs w:val="21"/>
                <w:lang w:eastAsia="zh-CN"/>
              </w:rPr>
              <w:t>。</w:t>
            </w:r>
            <w:r>
              <w:rPr>
                <w:rFonts w:hint="eastAsia" w:asciiTheme="minorEastAsia" w:hAnsiTheme="minorEastAsia" w:eastAsiaTheme="minorEastAsia" w:cstheme="minorEastAsia"/>
                <w:kern w:val="0"/>
                <w:sz w:val="21"/>
                <w:szCs w:val="21"/>
              </w:rPr>
              <w:t>2.落实教育局“关于国家级食品安全示范城市预验收标准”的通知，进一步完善管理，纠正管理不到位等现象；督促安保办及全体班主任适时检查班级和各功能室的插座以及其它电器的安全状况，加强校园治安保卫，排除隐患，确保师生在教育教学活动中的安全</w:t>
            </w:r>
            <w:r>
              <w:rPr>
                <w:rFonts w:hint="eastAsia" w:asciiTheme="minorEastAsia" w:hAnsiTheme="minorEastAsia" w:eastAsiaTheme="minorEastAsia" w:cstheme="minorEastAsia"/>
                <w:kern w:val="0"/>
                <w:sz w:val="21"/>
                <w:szCs w:val="21"/>
                <w:lang w:eastAsia="zh-CN"/>
              </w:rPr>
              <w:t>。</w:t>
            </w:r>
          </w:p>
        </w:tc>
        <w:tc>
          <w:tcPr>
            <w:tcW w:w="1141" w:type="dxa"/>
            <w:noWrap w:val="0"/>
            <w:vAlign w:val="center"/>
          </w:tcPr>
          <w:p>
            <w:pPr>
              <w:jc w:val="center"/>
              <w:rPr>
                <w:rFonts w:hint="eastAsia" w:eastAsia="宋体"/>
                <w:lang w:eastAsia="zh-CN"/>
              </w:rPr>
            </w:pPr>
            <w:r>
              <w:rPr>
                <w:rFonts w:hint="eastAsia"/>
              </w:rPr>
              <w:t>总务处</w:t>
            </w:r>
            <w:r>
              <w:rPr>
                <w:rFonts w:hint="eastAsia"/>
                <w:lang w:eastAsia="zh-CN"/>
              </w:rPr>
              <w:t>、安保办</w:t>
            </w:r>
          </w:p>
        </w:tc>
        <w:tc>
          <w:tcPr>
            <w:tcW w:w="495" w:type="dxa"/>
            <w:noWrap w:val="0"/>
            <w:vAlign w:val="top"/>
          </w:tcPr>
          <w:p>
            <w:pPr>
              <w:rPr>
                <w:rFonts w:hint="eastAsia"/>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新宋体">
    <w:panose1 w:val="02010609030101010101"/>
    <w:charset w:val="86"/>
    <w:family w:val="modern"/>
    <w:pitch w:val="default"/>
    <w:sig w:usb0="00000283" w:usb1="288F0000" w:usb2="00000006" w:usb3="00000000" w:csb0="00040001" w:csb1="00000000"/>
  </w:font>
  <w:font w:name="方正大黑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16C429A"/>
    <w:rsid w:val="42BC26A6"/>
    <w:rsid w:val="671C2F81"/>
    <w:rsid w:val="716C429A"/>
    <w:rsid w:val="76D033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5">
    <w:name w:val="List Paragraph"/>
    <w:basedOn w:val="1"/>
    <w:unhideWhenUsed/>
    <w:qFormat/>
    <w:uiPriority w:val="99"/>
    <w:pPr>
      <w:ind w:firstLine="420" w:firstLineChars="200"/>
    </w:pPr>
  </w:style>
  <w:style w:type="paragraph" w:customStyle="1" w:styleId="6">
    <w:name w:val="p15"/>
    <w:basedOn w:val="1"/>
    <w:uiPriority w:val="0"/>
    <w:pPr>
      <w:widowControl/>
    </w:pPr>
    <w:rPr>
      <w:rFonts w:ascii="Times New Roman" w:hAnsi="Times New Roman" w:eastAsia="宋体" w:cs="Times New Roman"/>
      <w:kern w:val="0"/>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2020-10-23T00:45:00Z</dcterms:created>
  <dc:creator>老狼</dc:creator>
  <cp:lastModifiedBy>老狼</cp:lastModifiedBy>
  <dcterms:modified xsi:type="dcterms:W3CDTF">2020-10-23T00:54:44Z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