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12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17</w:t>
      </w:r>
    </w:p>
    <w:tbl>
      <w:tblPr>
        <w:tblStyle w:val="5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33"/>
        <w:gridCol w:w="5804"/>
        <w:gridCol w:w="1141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疾病预防：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秋季流感盛行，向学生强调“病从口入”的预防要点，教育学生不吃街头摊点食物，不在小店买零食吃。提醒学生及时增减衣物。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建队节活动：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主题队会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：一年级开展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队前知识宣传教育，其他年级开展“新时代队员的风采”队会活动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树立身边的小榜样。少先队大队部进行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“大队委竞选”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活动。2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启动第六届校本班会赛课活动制定活动方案，初定时间、参赛人员。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召开10月份班主任例会。（时间另行通）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1、各班每天做好疫情防控常态化工作。2、合唱队、定向队、篮球队、啦啦操进行常规训练，积极准备各级赛事。3、按时上交“科创大赛”科幻画作品。4、组织参加“金钥匙”科技竞赛。5、利用体育课进行学生体质健康测试，密切关注学生状态，控制好强度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Chars="0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各教师注意进一步明确年段目标，抓好课堂教学，抓学生学习常规，向课堂40分钟要效益。进课堂前明确本节课教什么？怎么教？每节课要让学生有所收获。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五、六年级做好月考准备（15号左右），并做好质量分析，查找学科及班级不足，做好补缺补差工作。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各学科做好本学期第一次检测的质量分析，通过横向比较分析班级的优势与不足，制定策略。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五年级做好四年级知识的复习与巩固，迎接省学业水平测试。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四、五、六年级抓好德法、科学的日常教学，定期做好检测。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“春华杯”校内选拔赛第一轮（无生上课）时间：周一周二下午。</w:t>
            </w: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英语赛课活动。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49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听课安排</w:t>
            </w:r>
          </w:p>
        </w:tc>
        <w:tc>
          <w:tcPr>
            <w:tcW w:w="5804" w:type="dxa"/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-73" w:tblpY="-3513"/>
              <w:tblOverlap w:val="never"/>
              <w:tblW w:w="580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"/>
              <w:gridCol w:w="992"/>
              <w:gridCol w:w="426"/>
              <w:gridCol w:w="708"/>
              <w:gridCol w:w="2075"/>
              <w:gridCol w:w="96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64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星期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上课教师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节次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班级</w:t>
                  </w:r>
                </w:p>
              </w:tc>
              <w:tc>
                <w:tcPr>
                  <w:tcW w:w="2075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   容</w:t>
                  </w:r>
                </w:p>
              </w:tc>
              <w:tc>
                <w:tcPr>
                  <w:tcW w:w="96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听课教师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642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ind w:firstLine="80" w:firstLineChars="50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一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季雨薇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四（4）</w:t>
                  </w:r>
                </w:p>
              </w:tc>
              <w:tc>
                <w:tcPr>
                  <w:tcW w:w="2075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 w:cs="Arial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28"/>
                    </w:rPr>
                    <w:t>四年级《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8"/>
                    </w:rPr>
                    <w:t>At the snack bar</w:t>
                  </w:r>
                  <w:r>
                    <w:rPr>
                      <w:rFonts w:hint="eastAsia" w:cs="Arial"/>
                      <w:color w:val="000000"/>
                      <w:sz w:val="18"/>
                      <w:szCs w:val="28"/>
                    </w:rPr>
                    <w:t>》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28"/>
                    </w:rPr>
                    <w:t>五年级《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8"/>
                    </w:rPr>
                    <w:t>At weekends</w:t>
                  </w:r>
                  <w:r>
                    <w:rPr>
                      <w:rFonts w:hint="eastAsia" w:cs="Arial"/>
                      <w:color w:val="000000"/>
                      <w:sz w:val="18"/>
                      <w:szCs w:val="28"/>
                    </w:rPr>
                    <w:t>》</w:t>
                  </w:r>
                </w:p>
              </w:tc>
              <w:tc>
                <w:tcPr>
                  <w:tcW w:w="961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李兆庆 陈文娣    戴则青 余龙福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642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ind w:firstLine="80" w:firstLineChars="50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王彩玲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五（3）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42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二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葛昌芳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五（4）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42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李曼文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四（1）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642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三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严华炜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五（5）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642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石  金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四（2）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42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四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谢  群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五（2）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42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夏  玮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四（5）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642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五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李梦琪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28"/>
                    </w:rPr>
                    <w:t>四（3）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642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hint="eastAsia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徐业红</w:t>
                  </w:r>
                </w:p>
              </w:tc>
              <w:tc>
                <w:tcPr>
                  <w:tcW w:w="42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五（1）</w:t>
                  </w:r>
                </w:p>
              </w:tc>
              <w:tc>
                <w:tcPr>
                  <w:tcW w:w="207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jc w:val="center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  <w:tc>
                <w:tcPr>
                  <w:tcW w:w="96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50" w:lineRule="exact"/>
                    <w:textAlignment w:val="auto"/>
                    <w:rPr>
                      <w:rFonts w:ascii="宋体" w:hAnsi="宋体" w:cs="宋体"/>
                      <w:color w:val="000000"/>
                      <w:sz w:val="18"/>
                      <w:szCs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4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1、防踩踏专项安全教育：班主任要召开一次防踩踏安全教育主题班会，专门对学生进行防踩踏安全知识宣传教育。2、班主任按时完成安全教育平台的授课，督促学生完成作业。3、召开校车驾驶员、护导员会议。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结合区食堂大宗食材考核方案，加强食材质量管理，确保食品安全万无一失；继续督促食堂相关人员按要求每天认真做好“阳关食堂”信息监管平台使用工作；早点要针对气温变化，做好面点保温工作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认真做好学校食堂“柴改气”后其它相关安全设备的添置安装工作，确保用气安全，建立相关台账。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C1692"/>
    <w:rsid w:val="07267DBA"/>
    <w:rsid w:val="08832BCA"/>
    <w:rsid w:val="1D5306EC"/>
    <w:rsid w:val="240242BA"/>
    <w:rsid w:val="283C12B6"/>
    <w:rsid w:val="2AAC1692"/>
    <w:rsid w:val="498B4003"/>
    <w:rsid w:val="54666CD4"/>
    <w:rsid w:val="6F7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2020-10-09T23:34:00Z</dcterms:created>
  <dc:creator>老狼</dc:creator>
  <cp:lastModifiedBy>老狼</cp:lastModifiedBy>
  <dcterms:modified xsi:type="dcterms:W3CDTF">2020-10-10T01:02:48Z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